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Framework Schedule 7 (Call-Off Award Procedure</w:t>
      </w:r>
      <w:bookmarkStart w:colFirst="0" w:colLast="0" w:name="bookmark=id.gjdgxs" w:id="0"/>
      <w:bookmarkEnd w:id="0"/>
      <w:r w:rsidDel="00000000" w:rsidR="00000000" w:rsidRPr="00000000">
        <w:rPr>
          <w:rFonts w:ascii="Arial" w:cs="Arial" w:eastAsia="Arial" w:hAnsi="Arial"/>
          <w:b w:val="1"/>
          <w:color w:val="000000"/>
          <w:sz w:val="36"/>
          <w:szCs w:val="36"/>
          <w:rtl w:val="0"/>
        </w:rPr>
        <w:t xml:space="preserve">) </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Part 1: Order Procedure</w:t>
      </w:r>
    </w:p>
    <w:p w:rsidR="00000000" w:rsidDel="00000000" w:rsidP="00000000" w:rsidRDefault="00000000" w:rsidRPr="00000000" w14:paraId="00000003">
      <w:pPr>
        <w:keepNext w:val="1"/>
        <w:widowControl w:val="1"/>
        <w:numPr>
          <w:ilvl w:val="0"/>
          <w:numId w:val="1"/>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Call-Off Contract is awarded</w:t>
      </w:r>
    </w:p>
    <w:p w:rsidR="00000000" w:rsidDel="00000000" w:rsidP="00000000" w:rsidRDefault="00000000" w:rsidRPr="00000000" w14:paraId="00000004">
      <w:pPr>
        <w:widowControl w:val="1"/>
        <w:numPr>
          <w:ilvl w:val="1"/>
          <w:numId w:val="5"/>
        </w:numPr>
        <w:pBdr>
          <w:top w:space="0" w:sz="0" w:val="nil"/>
          <w:left w:space="0" w:sz="0" w:val="nil"/>
          <w:bottom w:space="0" w:sz="0" w:val="nil"/>
          <w:right w:space="0" w:sz="0" w:val="nil"/>
          <w:between w:space="0" w:sz="0" w:val="nil"/>
        </w:pBdr>
        <w:tabs>
          <w:tab w:val="left" w:pos="3054"/>
        </w:tabs>
        <w:spacing w:after="120" w:before="120" w:lineRule="auto"/>
        <w:ind w:left="1080" w:hanging="360"/>
        <w:jc w:val="both"/>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If a potential Buyer decides to source Deliverables through this Contract then it will award its Deliverables in accordance with the procedure in this Schedule and the requirements of the Regulations.</w:t>
      </w:r>
    </w:p>
    <w:p w:rsidR="00000000" w:rsidDel="00000000" w:rsidP="00000000" w:rsidRDefault="00000000" w:rsidRPr="00000000" w14:paraId="00000005">
      <w:pPr>
        <w:keepNext w:val="1"/>
        <w:widowControl w:val="1"/>
        <w:numPr>
          <w:ilvl w:val="1"/>
          <w:numId w:val="5"/>
        </w:numPr>
        <w:pBdr>
          <w:top w:space="0" w:sz="0" w:val="nil"/>
          <w:left w:space="0" w:sz="0" w:val="nil"/>
          <w:bottom w:space="0" w:sz="0" w:val="nil"/>
          <w:right w:space="0" w:sz="0" w:val="nil"/>
          <w:between w:space="0" w:sz="0" w:val="nil"/>
        </w:pBdr>
        <w:tabs>
          <w:tab w:val="left" w:pos="3054"/>
        </w:tabs>
        <w:spacing w:after="120" w:before="120" w:lineRule="auto"/>
        <w:ind w:left="1080" w:hanging="360"/>
        <w:jc w:val="both"/>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If the potential Buyer can determine that:</w:t>
      </w:r>
    </w:p>
    <w:p w:rsidR="00000000" w:rsidDel="00000000" w:rsidP="00000000" w:rsidRDefault="00000000" w:rsidRPr="00000000" w14:paraId="00000006">
      <w:pPr>
        <w:widowControl w:val="1"/>
        <w:numPr>
          <w:ilvl w:val="2"/>
          <w:numId w:val="5"/>
        </w:numPr>
        <w:pBdr>
          <w:top w:space="0" w:sz="0" w:val="nil"/>
          <w:left w:space="0" w:sz="0" w:val="nil"/>
          <w:bottom w:space="0" w:sz="0" w:val="nil"/>
          <w:right w:space="0" w:sz="0" w:val="nil"/>
          <w:between w:space="0" w:sz="0" w:val="nil"/>
        </w:pBdr>
        <w:tabs>
          <w:tab w:val="left" w:pos="3641"/>
        </w:tabs>
        <w:spacing w:after="120" w:before="120" w:lineRule="auto"/>
        <w:ind w:left="261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 Framework Schedule 2 (Framework Tender); and</w:t>
      </w:r>
    </w:p>
    <w:p w:rsidR="00000000" w:rsidDel="00000000" w:rsidP="00000000" w:rsidRDefault="00000000" w:rsidRPr="00000000" w14:paraId="00000007">
      <w:pPr>
        <w:widowControl w:val="1"/>
        <w:numPr>
          <w:ilvl w:val="2"/>
          <w:numId w:val="5"/>
        </w:numPr>
        <w:pBdr>
          <w:top w:space="0" w:sz="0" w:val="nil"/>
          <w:left w:space="0" w:sz="0" w:val="nil"/>
          <w:bottom w:space="0" w:sz="0" w:val="nil"/>
          <w:right w:space="0" w:sz="0" w:val="nil"/>
          <w:between w:space="0" w:sz="0" w:val="nil"/>
        </w:pBdr>
        <w:tabs>
          <w:tab w:val="left" w:pos="3641"/>
        </w:tabs>
        <w:spacing w:after="120" w:before="120" w:lineRule="auto"/>
        <w:ind w:left="261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of the terms of the proposed Call-Off Contract are laid down in this Contract and do not require amendment or any supplementary terms and conditions;</w:t>
      </w:r>
    </w:p>
    <w:p w:rsidR="00000000" w:rsidDel="00000000" w:rsidP="00000000" w:rsidRDefault="00000000" w:rsidRPr="00000000" w14:paraId="00000008">
      <w:pPr>
        <w:widowControl w:val="1"/>
        <w:pBdr>
          <w:top w:space="0" w:sz="0" w:val="nil"/>
          <w:left w:space="0" w:sz="0" w:val="nil"/>
          <w:bottom w:space="0" w:sz="0" w:val="nil"/>
          <w:right w:space="0" w:sz="0" w:val="nil"/>
          <w:between w:space="0" w:sz="0" w:val="nil"/>
        </w:pBdr>
        <w:tabs>
          <w:tab w:val="left" w:pos="4536"/>
        </w:tabs>
        <w:spacing w:after="220" w:lineRule="auto"/>
        <w:ind w:left="93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procedure set out in Paragraph 2 below.</w:t>
      </w:r>
    </w:p>
    <w:p w:rsidR="00000000" w:rsidDel="00000000" w:rsidP="00000000" w:rsidRDefault="00000000" w:rsidRPr="00000000" w14:paraId="00000009">
      <w:pPr>
        <w:keepNext w:val="1"/>
        <w:widowControl w:val="1"/>
        <w:numPr>
          <w:ilvl w:val="1"/>
          <w:numId w:val="5"/>
        </w:numPr>
        <w:pBdr>
          <w:top w:space="0" w:sz="0" w:val="nil"/>
          <w:left w:space="0" w:sz="0" w:val="nil"/>
          <w:bottom w:space="0" w:sz="0" w:val="nil"/>
          <w:right w:space="0" w:sz="0" w:val="nil"/>
          <w:between w:space="0" w:sz="0" w:val="nil"/>
        </w:pBdr>
        <w:tabs>
          <w:tab w:val="left" w:pos="3054"/>
        </w:tabs>
        <w:spacing w:after="120" w:before="120" w:lineRule="auto"/>
        <w:ind w:left="108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all of the terms of the proposed Call-Off Contract are not laid down in this Contract and the potential Buyer:</w:t>
      </w:r>
    </w:p>
    <w:p w:rsidR="00000000" w:rsidDel="00000000" w:rsidP="00000000" w:rsidRDefault="00000000" w:rsidRPr="00000000" w14:paraId="0000000A">
      <w:pPr>
        <w:widowControl w:val="1"/>
        <w:numPr>
          <w:ilvl w:val="2"/>
          <w:numId w:val="5"/>
        </w:numPr>
        <w:pBdr>
          <w:top w:space="0" w:sz="0" w:val="nil"/>
          <w:left w:space="0" w:sz="0" w:val="nil"/>
          <w:bottom w:space="0" w:sz="0" w:val="nil"/>
          <w:right w:space="0" w:sz="0" w:val="nil"/>
          <w:between w:space="0" w:sz="0" w:val="nil"/>
        </w:pBdr>
        <w:tabs>
          <w:tab w:val="left" w:pos="3641"/>
        </w:tabs>
        <w:spacing w:after="120" w:before="120" w:lineRule="auto"/>
        <w:ind w:left="261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requires the Supplier to develop proposals or a solution in respect of such Deliverables; </w:t>
      </w:r>
    </w:p>
    <w:p w:rsidR="00000000" w:rsidDel="00000000" w:rsidP="00000000" w:rsidRDefault="00000000" w:rsidRPr="00000000" w14:paraId="0000000B">
      <w:pPr>
        <w:widowControl w:val="1"/>
        <w:numPr>
          <w:ilvl w:val="2"/>
          <w:numId w:val="5"/>
        </w:numPr>
        <w:pBdr>
          <w:top w:space="0" w:sz="0" w:val="nil"/>
          <w:left w:space="0" w:sz="0" w:val="nil"/>
          <w:bottom w:space="0" w:sz="0" w:val="nil"/>
          <w:right w:space="0" w:sz="0" w:val="nil"/>
          <w:between w:space="0" w:sz="0" w:val="nil"/>
        </w:pBdr>
        <w:tabs>
          <w:tab w:val="left" w:pos="3641"/>
        </w:tabs>
        <w:spacing w:after="120" w:before="120" w:lineRule="auto"/>
        <w:ind w:left="261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needs to amend or refine the terms of the Framework Contract to reflect its Deliverables to the extent permitted by and in accordance with the Regulations; and/or</w:t>
      </w:r>
    </w:p>
    <w:p w:rsidR="00000000" w:rsidDel="00000000" w:rsidP="00000000" w:rsidRDefault="00000000" w:rsidRPr="00000000" w14:paraId="0000000C">
      <w:pPr>
        <w:widowControl w:val="1"/>
        <w:numPr>
          <w:ilvl w:val="2"/>
          <w:numId w:val="5"/>
        </w:numPr>
        <w:tabs>
          <w:tab w:val="left" w:pos="1134"/>
        </w:tabs>
        <w:spacing w:after="120" w:before="120" w:lineRule="auto"/>
        <w:ind w:left="2610" w:hanging="720"/>
        <w:jc w:val="both"/>
        <w:rPr>
          <w:rFonts w:ascii="Arial" w:cs="Arial" w:eastAsia="Arial" w:hAnsi="Arial"/>
        </w:rPr>
      </w:pPr>
      <w:r w:rsidDel="00000000" w:rsidR="00000000" w:rsidRPr="00000000">
        <w:rPr>
          <w:rFonts w:ascii="Arial" w:cs="Arial" w:eastAsia="Arial" w:hAnsi="Arial"/>
          <w:sz w:val="24"/>
          <w:szCs w:val="24"/>
          <w:rtl w:val="0"/>
        </w:rPr>
        <w:t xml:space="preserve">requires any additional provisions to be included that are not already laid down in this Contract (to the extent permitted by and in accordance with the Regulations and) to deal with any of the following:</w:t>
      </w:r>
      <w:r w:rsidDel="00000000" w:rsidR="00000000" w:rsidRPr="00000000">
        <w:rPr>
          <w:rtl w:val="0"/>
        </w:rPr>
      </w:r>
    </w:p>
    <w:p w:rsidR="00000000" w:rsidDel="00000000" w:rsidP="00000000" w:rsidRDefault="00000000" w:rsidRPr="00000000" w14:paraId="0000000D">
      <w:pPr>
        <w:keepNext w:val="1"/>
        <w:widowControl w:val="1"/>
        <w:numPr>
          <w:ilvl w:val="3"/>
          <w:numId w:val="5"/>
        </w:numPr>
        <w:tabs>
          <w:tab w:val="left" w:pos="2552"/>
        </w:tabs>
        <w:spacing w:after="120" w:before="120" w:lineRule="auto"/>
        <w:ind w:left="3119" w:hanging="566.9999999999999"/>
        <w:jc w:val="both"/>
        <w:rPr>
          <w:rFonts w:ascii="Arial" w:cs="Arial" w:eastAsia="Arial" w:hAnsi="Arial"/>
        </w:rPr>
      </w:pPr>
      <w:r w:rsidDel="00000000" w:rsidR="00000000" w:rsidRPr="00000000">
        <w:rPr>
          <w:rFonts w:ascii="Arial" w:cs="Arial" w:eastAsia="Arial" w:hAnsi="Arial"/>
          <w:sz w:val="24"/>
          <w:szCs w:val="24"/>
          <w:rtl w:val="0"/>
        </w:rPr>
        <w:t xml:space="preserve">security requirements over and above those set out in Call-Off Schedule 9A (Security) or Call-Off Schedule 9B (MOD Security) (as applicable), including staff clearance;</w:t>
      </w:r>
      <w:r w:rsidDel="00000000" w:rsidR="00000000" w:rsidRPr="00000000">
        <w:rPr>
          <w:rtl w:val="0"/>
        </w:rPr>
      </w:r>
    </w:p>
    <w:p w:rsidR="00000000" w:rsidDel="00000000" w:rsidP="00000000" w:rsidRDefault="00000000" w:rsidRPr="00000000" w14:paraId="0000000E">
      <w:pPr>
        <w:keepNext w:val="1"/>
        <w:widowControl w:val="1"/>
        <w:numPr>
          <w:ilvl w:val="3"/>
          <w:numId w:val="5"/>
        </w:numPr>
        <w:spacing w:after="120" w:before="120" w:lineRule="auto"/>
        <w:ind w:left="3119" w:hanging="566.9999999999999"/>
        <w:jc w:val="both"/>
        <w:rPr>
          <w:rFonts w:ascii="Arial" w:cs="Arial" w:eastAsia="Arial" w:hAnsi="Arial"/>
        </w:rPr>
      </w:pPr>
      <w:r w:rsidDel="00000000" w:rsidR="00000000" w:rsidRPr="00000000">
        <w:rPr>
          <w:rFonts w:ascii="Arial" w:cs="Arial" w:eastAsia="Arial" w:hAnsi="Arial"/>
          <w:sz w:val="24"/>
          <w:szCs w:val="24"/>
          <w:rtl w:val="0"/>
        </w:rPr>
        <w:t xml:space="preserve">the use of Implants;</w:t>
      </w:r>
      <w:r w:rsidDel="00000000" w:rsidR="00000000" w:rsidRPr="00000000">
        <w:rPr>
          <w:rtl w:val="0"/>
        </w:rPr>
      </w:r>
    </w:p>
    <w:p w:rsidR="00000000" w:rsidDel="00000000" w:rsidP="00000000" w:rsidRDefault="00000000" w:rsidRPr="00000000" w14:paraId="0000000F">
      <w:pPr>
        <w:keepNext w:val="1"/>
        <w:widowControl w:val="1"/>
        <w:numPr>
          <w:ilvl w:val="3"/>
          <w:numId w:val="5"/>
        </w:numPr>
        <w:spacing w:after="120" w:before="120" w:lineRule="auto"/>
        <w:ind w:left="3119" w:hanging="566.9999999999999"/>
        <w:jc w:val="both"/>
        <w:rPr>
          <w:rFonts w:ascii="Arial" w:cs="Arial" w:eastAsia="Arial" w:hAnsi="Arial"/>
        </w:rPr>
      </w:pPr>
      <w:r w:rsidDel="00000000" w:rsidR="00000000" w:rsidRPr="00000000">
        <w:rPr>
          <w:rFonts w:ascii="Arial" w:cs="Arial" w:eastAsia="Arial" w:hAnsi="Arial"/>
          <w:sz w:val="24"/>
          <w:szCs w:val="24"/>
          <w:rtl w:val="0"/>
        </w:rPr>
        <w:t xml:space="preserve">the use of ticket printers;</w:t>
      </w:r>
      <w:r w:rsidDel="00000000" w:rsidR="00000000" w:rsidRPr="00000000">
        <w:rPr>
          <w:rtl w:val="0"/>
        </w:rPr>
      </w:r>
    </w:p>
    <w:p w:rsidR="00000000" w:rsidDel="00000000" w:rsidP="00000000" w:rsidRDefault="00000000" w:rsidRPr="00000000" w14:paraId="00000010">
      <w:pPr>
        <w:keepNext w:val="1"/>
        <w:widowControl w:val="1"/>
        <w:numPr>
          <w:ilvl w:val="3"/>
          <w:numId w:val="5"/>
        </w:numPr>
        <w:spacing w:after="120" w:before="120" w:lineRule="auto"/>
        <w:ind w:left="3119" w:hanging="566.9999999999999"/>
        <w:jc w:val="both"/>
        <w:rPr>
          <w:rFonts w:ascii="Arial" w:cs="Arial" w:eastAsia="Arial" w:hAnsi="Arial"/>
        </w:rPr>
      </w:pPr>
      <w:r w:rsidDel="00000000" w:rsidR="00000000" w:rsidRPr="00000000">
        <w:rPr>
          <w:rFonts w:ascii="Arial" w:cs="Arial" w:eastAsia="Arial" w:hAnsi="Arial"/>
          <w:sz w:val="24"/>
          <w:szCs w:val="24"/>
          <w:rtl w:val="0"/>
        </w:rPr>
        <w:t xml:space="preserve">additional Service Levels;</w:t>
      </w:r>
      <w:r w:rsidDel="00000000" w:rsidR="00000000" w:rsidRPr="00000000">
        <w:rPr>
          <w:rtl w:val="0"/>
        </w:rPr>
      </w:r>
    </w:p>
    <w:p w:rsidR="00000000" w:rsidDel="00000000" w:rsidP="00000000" w:rsidRDefault="00000000" w:rsidRPr="00000000" w14:paraId="00000011">
      <w:pPr>
        <w:keepNext w:val="1"/>
        <w:widowControl w:val="1"/>
        <w:numPr>
          <w:ilvl w:val="3"/>
          <w:numId w:val="5"/>
        </w:numPr>
        <w:spacing w:after="120" w:before="120" w:lineRule="auto"/>
        <w:ind w:left="3119" w:hanging="566.9999999999999"/>
        <w:jc w:val="both"/>
        <w:rPr>
          <w:rFonts w:ascii="Arial" w:cs="Arial" w:eastAsia="Arial" w:hAnsi="Arial"/>
        </w:rPr>
      </w:pPr>
      <w:r w:rsidDel="00000000" w:rsidR="00000000" w:rsidRPr="00000000">
        <w:rPr>
          <w:rFonts w:ascii="Arial" w:cs="Arial" w:eastAsia="Arial" w:hAnsi="Arial"/>
          <w:sz w:val="24"/>
          <w:szCs w:val="24"/>
          <w:rtl w:val="0"/>
        </w:rPr>
        <w:t xml:space="preserve">Executive Services; and </w:t>
      </w:r>
      <w:r w:rsidDel="00000000" w:rsidR="00000000" w:rsidRPr="00000000">
        <w:rPr>
          <w:rtl w:val="0"/>
        </w:rPr>
      </w:r>
    </w:p>
    <w:p w:rsidR="00000000" w:rsidDel="00000000" w:rsidP="00000000" w:rsidRDefault="00000000" w:rsidRPr="00000000" w14:paraId="00000012">
      <w:pPr>
        <w:keepNext w:val="1"/>
        <w:widowControl w:val="1"/>
        <w:numPr>
          <w:ilvl w:val="3"/>
          <w:numId w:val="5"/>
        </w:numPr>
        <w:spacing w:after="120" w:before="120" w:lineRule="auto"/>
        <w:ind w:left="3119" w:hanging="566.9999999999999"/>
        <w:jc w:val="both"/>
        <w:rPr>
          <w:rFonts w:ascii="Arial" w:cs="Arial" w:eastAsia="Arial" w:hAnsi="Arial"/>
        </w:rPr>
      </w:pPr>
      <w:r w:rsidDel="00000000" w:rsidR="00000000" w:rsidRPr="00000000">
        <w:rPr>
          <w:rFonts w:ascii="Arial" w:cs="Arial" w:eastAsia="Arial" w:hAnsi="Arial"/>
          <w:sz w:val="24"/>
          <w:szCs w:val="24"/>
          <w:rtl w:val="0"/>
        </w:rPr>
        <w:t xml:space="preserve">corporate social responsibility requirements,</w:t>
      </w:r>
      <w:r w:rsidDel="00000000" w:rsidR="00000000" w:rsidRPr="00000000">
        <w:rPr>
          <w:rtl w:val="0"/>
        </w:rPr>
      </w:r>
    </w:p>
    <w:p w:rsidR="00000000" w:rsidDel="00000000" w:rsidP="00000000" w:rsidRDefault="00000000" w:rsidRPr="00000000" w14:paraId="00000013">
      <w:pPr>
        <w:widowControl w:val="1"/>
        <w:pBdr>
          <w:top w:space="0" w:sz="0" w:val="nil"/>
          <w:left w:space="0" w:sz="0" w:val="nil"/>
          <w:bottom w:space="0" w:sz="0" w:val="nil"/>
          <w:right w:space="0" w:sz="0" w:val="nil"/>
          <w:between w:space="0" w:sz="0" w:val="nil"/>
        </w:pBdr>
        <w:tabs>
          <w:tab w:val="left" w:pos="4536"/>
        </w:tabs>
        <w:spacing w:after="220" w:lineRule="auto"/>
        <w:ind w:left="900"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then the Buyer may award a Call-Off Contract in accordance with </w:t>
      </w:r>
      <w:r w:rsidDel="00000000" w:rsidR="00000000" w:rsidRPr="00000000">
        <w:rPr>
          <w:rFonts w:ascii="Arial" w:cs="Arial" w:eastAsia="Arial" w:hAnsi="Arial"/>
          <w:color w:val="000000"/>
          <w:sz w:val="24"/>
          <w:szCs w:val="24"/>
          <w:rtl w:val="0"/>
        </w:rPr>
        <w:t xml:space="preserve">the Further Competition Procedure set out in Paragraph 3 below.</w:t>
      </w:r>
    </w:p>
    <w:p w:rsidR="00000000" w:rsidDel="00000000" w:rsidP="00000000" w:rsidRDefault="00000000" w:rsidRPr="00000000" w14:paraId="00000014">
      <w:pPr>
        <w:keepNext w:val="1"/>
        <w:widowControl w:val="1"/>
        <w:numPr>
          <w:ilvl w:val="0"/>
          <w:numId w:val="5"/>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direct award works</w:t>
      </w:r>
    </w:p>
    <w:p w:rsidR="00000000" w:rsidDel="00000000" w:rsidP="00000000" w:rsidRDefault="00000000" w:rsidRPr="00000000" w14:paraId="00000015">
      <w:pPr>
        <w:keepNext w:val="1"/>
        <w:widowControl w:val="1"/>
        <w:numPr>
          <w:ilvl w:val="1"/>
          <w:numId w:val="5"/>
        </w:numPr>
        <w:pBdr>
          <w:top w:space="0" w:sz="0" w:val="nil"/>
          <w:left w:space="0" w:sz="0" w:val="nil"/>
          <w:bottom w:space="0" w:sz="0" w:val="nil"/>
          <w:right w:space="0" w:sz="0" w:val="nil"/>
          <w:between w:space="0" w:sz="0" w:val="nil"/>
        </w:pBdr>
        <w:tabs>
          <w:tab w:val="left" w:pos="3054"/>
        </w:tabs>
        <w:spacing w:after="120" w:before="120" w:lineRule="auto"/>
        <w:ind w:left="108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1.2 above the Buyer awarding a Call-Off Contract under this Contract without holding a further competition shall:</w:t>
      </w:r>
    </w:p>
    <w:p w:rsidR="00000000" w:rsidDel="00000000" w:rsidP="00000000" w:rsidRDefault="00000000" w:rsidRPr="00000000" w14:paraId="00000016">
      <w:pPr>
        <w:widowControl w:val="1"/>
        <w:numPr>
          <w:ilvl w:val="2"/>
          <w:numId w:val="5"/>
        </w:numPr>
        <w:pBdr>
          <w:top w:space="0" w:sz="0" w:val="nil"/>
          <w:left w:space="0" w:sz="0" w:val="nil"/>
          <w:bottom w:space="0" w:sz="0" w:val="nil"/>
          <w:right w:space="0" w:sz="0" w:val="nil"/>
          <w:between w:space="0" w:sz="0" w:val="nil"/>
        </w:pBdr>
        <w:tabs>
          <w:tab w:val="left" w:pos="3641"/>
        </w:tabs>
        <w:spacing w:after="120" w:before="120" w:lineRule="auto"/>
        <w:ind w:left="261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the direct award criteria to the Suppliers’ catalogues and description of the Deliverables as set out in Framework Schedule 1 (Specification) and Framework Schedule 2 (Framework Tender) for all Suppliers capable of meeting the Statement of Requirements in order to establish which Supplier provides the most economically advantageous solution; and</w:t>
      </w:r>
    </w:p>
    <w:p w:rsidR="00000000" w:rsidDel="00000000" w:rsidP="00000000" w:rsidRDefault="00000000" w:rsidRPr="00000000" w14:paraId="00000017">
      <w:pPr>
        <w:widowControl w:val="1"/>
        <w:numPr>
          <w:ilvl w:val="2"/>
          <w:numId w:val="5"/>
        </w:numPr>
        <w:pBdr>
          <w:top w:space="0" w:sz="0" w:val="nil"/>
          <w:left w:space="0" w:sz="0" w:val="nil"/>
          <w:bottom w:space="0" w:sz="0" w:val="nil"/>
          <w:right w:space="0" w:sz="0" w:val="nil"/>
          <w:between w:space="0" w:sz="0" w:val="nil"/>
        </w:pBdr>
        <w:tabs>
          <w:tab w:val="left" w:pos="3641"/>
        </w:tabs>
        <w:spacing w:after="120" w:before="120" w:lineRule="auto"/>
        <w:ind w:left="261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basis set out above, award the Call-Off Contract with the successful Supplier in accordance with Paragraph 6 below.</w:t>
      </w:r>
    </w:p>
    <w:p w:rsidR="00000000" w:rsidDel="00000000" w:rsidP="00000000" w:rsidRDefault="00000000" w:rsidRPr="00000000" w14:paraId="00000018">
      <w:pPr>
        <w:keepNext w:val="1"/>
        <w:widowControl w:val="1"/>
        <w:numPr>
          <w:ilvl w:val="0"/>
          <w:numId w:val="5"/>
        </w:numPr>
        <w:pBdr>
          <w:top w:space="0" w:sz="0" w:val="nil"/>
          <w:left w:space="0" w:sz="0" w:val="nil"/>
          <w:bottom w:space="0" w:sz="0" w:val="nil"/>
          <w:right w:space="0" w:sz="0" w:val="nil"/>
          <w:between w:space="0" w:sz="0" w:val="nil"/>
        </w:pBdr>
        <w:tabs>
          <w:tab w:val="left" w:pos="142"/>
        </w:tabs>
        <w:spacing w:after="240" w:before="120" w:lineRule="auto"/>
        <w:ind w:left="360" w:hanging="360"/>
        <w:jc w:val="both"/>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further competition works</w:t>
      </w:r>
    </w:p>
    <w:p w:rsidR="00000000" w:rsidDel="00000000" w:rsidP="00000000" w:rsidRDefault="00000000" w:rsidRPr="00000000" w14:paraId="00000019">
      <w:pPr>
        <w:keepNext w:val="1"/>
        <w:widowControl w:val="1"/>
        <w:pBdr>
          <w:top w:space="0" w:sz="0" w:val="nil"/>
          <w:left w:space="0" w:sz="0" w:val="nil"/>
          <w:bottom w:space="0" w:sz="0" w:val="nil"/>
          <w:right w:space="0" w:sz="0" w:val="nil"/>
          <w:between w:space="0" w:sz="0" w:val="nil"/>
        </w:pBdr>
        <w:tabs>
          <w:tab w:val="left" w:pos="3054"/>
        </w:tabs>
        <w:spacing w:after="120" w:before="120" w:lineRule="auto"/>
        <w:ind w:left="1134" w:hanging="774"/>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Buyer has to do</w:t>
      </w:r>
    </w:p>
    <w:p w:rsidR="00000000" w:rsidDel="00000000" w:rsidP="00000000" w:rsidRDefault="00000000" w:rsidRPr="00000000" w14:paraId="0000001A">
      <w:pPr>
        <w:keepNext w:val="1"/>
        <w:widowControl w:val="1"/>
        <w:numPr>
          <w:ilvl w:val="1"/>
          <w:numId w:val="5"/>
        </w:numPr>
        <w:pBdr>
          <w:top w:space="0" w:sz="0" w:val="nil"/>
          <w:left w:space="0" w:sz="0" w:val="nil"/>
          <w:bottom w:space="0" w:sz="0" w:val="nil"/>
          <w:right w:space="0" w:sz="0" w:val="nil"/>
          <w:between w:space="0" w:sz="0" w:val="nil"/>
        </w:pBdr>
        <w:tabs>
          <w:tab w:val="left" w:pos="3054"/>
        </w:tabs>
        <w:spacing w:after="120" w:before="120" w:lineRule="auto"/>
        <w:ind w:left="1080" w:hanging="360"/>
        <w:jc w:val="both"/>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The Buyer awarding a Call-Off Contract under this Contract through a Further Competition Procedure shall:</w:t>
      </w:r>
    </w:p>
    <w:p w:rsidR="00000000" w:rsidDel="00000000" w:rsidP="00000000" w:rsidRDefault="00000000" w:rsidRPr="00000000" w14:paraId="0000001B">
      <w:pPr>
        <w:widowControl w:val="1"/>
        <w:numPr>
          <w:ilvl w:val="2"/>
          <w:numId w:val="5"/>
        </w:numPr>
        <w:tabs>
          <w:tab w:val="left" w:pos="1985"/>
        </w:tabs>
        <w:spacing w:after="120" w:before="120" w:lineRule="auto"/>
        <w:ind w:left="2610" w:hanging="720"/>
        <w:jc w:val="both"/>
        <w:rPr>
          <w:rFonts w:ascii="Arial" w:cs="Arial" w:eastAsia="Arial" w:hAnsi="Arial"/>
        </w:rPr>
      </w:pPr>
      <w:bookmarkStart w:colFirst="0" w:colLast="0" w:name="_heading=h.2et92p0" w:id="4"/>
      <w:bookmarkEnd w:id="4"/>
      <w:r w:rsidDel="00000000" w:rsidR="00000000" w:rsidRPr="00000000">
        <w:rPr>
          <w:rFonts w:ascii="Arial" w:cs="Arial" w:eastAsia="Arial" w:hAnsi="Arial"/>
          <w:sz w:val="24"/>
          <w:szCs w:val="24"/>
          <w:rtl w:val="0"/>
        </w:rPr>
        <w:t xml:space="preserve">develop a Statement of Requirements setting out its requirements for the Deliverables and identify the Suppliers capable of supplying the them;</w:t>
      </w:r>
      <w:r w:rsidDel="00000000" w:rsidR="00000000" w:rsidRPr="00000000">
        <w:rPr>
          <w:rtl w:val="0"/>
        </w:rPr>
      </w:r>
    </w:p>
    <w:p w:rsidR="00000000" w:rsidDel="00000000" w:rsidP="00000000" w:rsidRDefault="00000000" w:rsidRPr="00000000" w14:paraId="0000001C">
      <w:pPr>
        <w:widowControl w:val="1"/>
        <w:numPr>
          <w:ilvl w:val="2"/>
          <w:numId w:val="5"/>
        </w:numPr>
        <w:tabs>
          <w:tab w:val="left" w:pos="1985"/>
        </w:tabs>
        <w:spacing w:after="120" w:before="120" w:lineRule="auto"/>
        <w:ind w:left="2610" w:hanging="720"/>
        <w:jc w:val="both"/>
        <w:rPr>
          <w:rFonts w:ascii="Arial" w:cs="Arial" w:eastAsia="Arial" w:hAnsi="Arial"/>
        </w:rPr>
      </w:pPr>
      <w:bookmarkStart w:colFirst="0" w:colLast="0" w:name="_heading=h.tyjcwt" w:id="5"/>
      <w:bookmarkEnd w:id="5"/>
      <w:r w:rsidDel="00000000" w:rsidR="00000000" w:rsidRPr="00000000">
        <w:rPr>
          <w:rFonts w:ascii="Arial" w:cs="Arial" w:eastAsia="Arial" w:hAnsi="Arial"/>
          <w:sz w:val="24"/>
          <w:szCs w:val="24"/>
          <w:rtl w:val="0"/>
        </w:rPr>
        <w:t xml:space="preserve">amend or refine the Deliverables to reflect its requirements by using the Order Form only to the extent permitted by and in accordance with Paragraph 1.3 above and the requirements of the Regulations;</w:t>
      </w:r>
      <w:r w:rsidDel="00000000" w:rsidR="00000000" w:rsidRPr="00000000">
        <w:rPr>
          <w:rtl w:val="0"/>
        </w:rPr>
      </w:r>
    </w:p>
    <w:p w:rsidR="00000000" w:rsidDel="00000000" w:rsidP="00000000" w:rsidRDefault="00000000" w:rsidRPr="00000000" w14:paraId="0000001D">
      <w:pPr>
        <w:widowControl w:val="1"/>
        <w:numPr>
          <w:ilvl w:val="2"/>
          <w:numId w:val="5"/>
        </w:numPr>
        <w:tabs>
          <w:tab w:val="left" w:pos="1985"/>
        </w:tabs>
        <w:spacing w:after="120" w:before="120" w:lineRule="auto"/>
        <w:ind w:left="2610" w:hanging="720"/>
        <w:jc w:val="both"/>
        <w:rPr>
          <w:rFonts w:ascii="Arial" w:cs="Arial" w:eastAsia="Arial" w:hAnsi="Arial"/>
        </w:rPr>
      </w:pPr>
      <w:r w:rsidDel="00000000" w:rsidR="00000000" w:rsidRPr="00000000">
        <w:rPr>
          <w:rFonts w:ascii="Arial" w:cs="Arial" w:eastAsia="Arial" w:hAnsi="Arial"/>
          <w:sz w:val="24"/>
          <w:szCs w:val="24"/>
          <w:rtl w:val="0"/>
        </w:rPr>
        <w:t xml:space="preserve">invite tenders by conducting a Further Competition Procedure for its Deliverables in accordance with the Regulations and in particular the Buyer shall:</w:t>
      </w:r>
      <w:r w:rsidDel="00000000" w:rsidR="00000000" w:rsidRPr="00000000">
        <w:rPr>
          <w:rtl w:val="0"/>
        </w:rPr>
      </w:r>
    </w:p>
    <w:p w:rsidR="00000000" w:rsidDel="00000000" w:rsidP="00000000" w:rsidRDefault="00000000" w:rsidRPr="00000000" w14:paraId="0000001E">
      <w:pPr>
        <w:keepNext w:val="1"/>
        <w:widowControl w:val="1"/>
        <w:numPr>
          <w:ilvl w:val="3"/>
          <w:numId w:val="3"/>
        </w:numPr>
        <w:tabs>
          <w:tab w:val="left" w:pos="3261"/>
        </w:tabs>
        <w:spacing w:after="120" w:before="120" w:lineRule="auto"/>
        <w:ind w:left="3261" w:hanging="653.0000000000001"/>
        <w:jc w:val="both"/>
        <w:rPr>
          <w:rFonts w:ascii="Arial" w:cs="Arial" w:eastAsia="Arial" w:hAnsi="Arial"/>
        </w:rPr>
      </w:pPr>
      <w:r w:rsidDel="00000000" w:rsidR="00000000" w:rsidRPr="00000000">
        <w:rPr>
          <w:rFonts w:ascii="Arial" w:cs="Arial" w:eastAsia="Arial" w:hAnsi="Arial"/>
          <w:sz w:val="24"/>
          <w:szCs w:val="24"/>
          <w:rtl w:val="0"/>
        </w:rPr>
        <w:t xml:space="preserve">invite the Suppliers identified in accordance with Paragraph 3.1.1 to submit a tender in writing for each proposed Call-Off Contract to be awarded by giving written notice by email to the relevant Supplier Representative of each Supplier;</w:t>
      </w:r>
      <w:r w:rsidDel="00000000" w:rsidR="00000000" w:rsidRPr="00000000">
        <w:rPr>
          <w:rtl w:val="0"/>
        </w:rPr>
      </w:r>
    </w:p>
    <w:p w:rsidR="00000000" w:rsidDel="00000000" w:rsidP="00000000" w:rsidRDefault="00000000" w:rsidRPr="00000000" w14:paraId="0000001F">
      <w:pPr>
        <w:keepNext w:val="1"/>
        <w:widowControl w:val="1"/>
        <w:numPr>
          <w:ilvl w:val="3"/>
          <w:numId w:val="3"/>
        </w:numPr>
        <w:tabs>
          <w:tab w:val="left" w:pos="3261"/>
        </w:tabs>
        <w:spacing w:after="120" w:before="120" w:lineRule="auto"/>
        <w:ind w:left="3261" w:hanging="653.0000000000001"/>
        <w:jc w:val="both"/>
        <w:rPr>
          <w:rFonts w:ascii="Arial" w:cs="Arial" w:eastAsia="Arial" w:hAnsi="Arial"/>
        </w:rPr>
      </w:pPr>
      <w:r w:rsidDel="00000000" w:rsidR="00000000" w:rsidRPr="00000000">
        <w:rPr>
          <w:rFonts w:ascii="Arial" w:cs="Arial" w:eastAsia="Arial" w:hAnsi="Arial"/>
          <w:sz w:val="24"/>
          <w:szCs w:val="24"/>
          <w:rtl w:val="0"/>
        </w:rPr>
        <w:t xml:space="preserve">set a time limit for the receipt by it of the tenders which takes into account factors such as the complexity of the subject matter of the proposed Call-Off Contract and the time needed to submit tenders; and</w:t>
      </w:r>
      <w:r w:rsidDel="00000000" w:rsidR="00000000" w:rsidRPr="00000000">
        <w:rPr>
          <w:rtl w:val="0"/>
        </w:rPr>
      </w:r>
    </w:p>
    <w:p w:rsidR="00000000" w:rsidDel="00000000" w:rsidP="00000000" w:rsidRDefault="00000000" w:rsidRPr="00000000" w14:paraId="00000020">
      <w:pPr>
        <w:keepNext w:val="1"/>
        <w:widowControl w:val="1"/>
        <w:numPr>
          <w:ilvl w:val="3"/>
          <w:numId w:val="3"/>
        </w:numPr>
        <w:tabs>
          <w:tab w:val="left" w:pos="3261"/>
        </w:tabs>
        <w:spacing w:after="120" w:before="120" w:lineRule="auto"/>
        <w:ind w:left="3261" w:hanging="653.0000000000001"/>
        <w:jc w:val="both"/>
        <w:rPr>
          <w:rFonts w:ascii="Arial" w:cs="Arial" w:eastAsia="Arial" w:hAnsi="Arial"/>
        </w:rPr>
      </w:pPr>
      <w:r w:rsidDel="00000000" w:rsidR="00000000" w:rsidRPr="00000000">
        <w:rPr>
          <w:rFonts w:ascii="Arial" w:cs="Arial" w:eastAsia="Arial" w:hAnsi="Arial"/>
          <w:sz w:val="24"/>
          <w:szCs w:val="24"/>
          <w:rtl w:val="0"/>
        </w:rPr>
        <w:t xml:space="preserve">keep each tender confidential until the time limit set out for the return of tenders has expired;</w:t>
      </w:r>
      <w:r w:rsidDel="00000000" w:rsidR="00000000" w:rsidRPr="00000000">
        <w:rPr>
          <w:rtl w:val="0"/>
        </w:rPr>
      </w:r>
    </w:p>
    <w:p w:rsidR="00000000" w:rsidDel="00000000" w:rsidP="00000000" w:rsidRDefault="00000000" w:rsidRPr="00000000" w14:paraId="00000021">
      <w:pPr>
        <w:widowControl w:val="1"/>
        <w:numPr>
          <w:ilvl w:val="2"/>
          <w:numId w:val="5"/>
        </w:numPr>
        <w:tabs>
          <w:tab w:val="left" w:pos="1985"/>
        </w:tabs>
        <w:spacing w:after="120" w:before="120" w:lineRule="auto"/>
        <w:ind w:left="2610" w:hanging="720"/>
        <w:jc w:val="both"/>
        <w:rPr>
          <w:rFonts w:ascii="Arial" w:cs="Arial" w:eastAsia="Arial" w:hAnsi="Arial"/>
        </w:rPr>
      </w:pPr>
      <w:r w:rsidDel="00000000" w:rsidR="00000000" w:rsidRPr="00000000">
        <w:rPr>
          <w:rFonts w:ascii="Arial" w:cs="Arial" w:eastAsia="Arial" w:hAnsi="Arial"/>
          <w:sz w:val="24"/>
          <w:szCs w:val="24"/>
          <w:rtl w:val="0"/>
        </w:rPr>
        <w:t xml:space="preserve">apply the further competition award criteria to the Suppliers' compliant tenders submitted through the Further Competition Procedure as the basis of its decision to award a Call-Off Contract for its Deliverables;</w:t>
      </w:r>
      <w:r w:rsidDel="00000000" w:rsidR="00000000" w:rsidRPr="00000000">
        <w:rPr>
          <w:rtl w:val="0"/>
        </w:rPr>
      </w:r>
    </w:p>
    <w:p w:rsidR="00000000" w:rsidDel="00000000" w:rsidP="00000000" w:rsidRDefault="00000000" w:rsidRPr="00000000" w14:paraId="00000022">
      <w:pPr>
        <w:widowControl w:val="1"/>
        <w:numPr>
          <w:ilvl w:val="2"/>
          <w:numId w:val="5"/>
        </w:numPr>
        <w:tabs>
          <w:tab w:val="left" w:pos="1985"/>
        </w:tabs>
        <w:spacing w:after="120" w:before="120" w:lineRule="auto"/>
        <w:ind w:left="2610" w:hanging="720"/>
        <w:jc w:val="both"/>
        <w:rPr>
          <w:rFonts w:ascii="Arial" w:cs="Arial" w:eastAsia="Arial" w:hAnsi="Arial"/>
        </w:rPr>
      </w:pPr>
      <w:r w:rsidDel="00000000" w:rsidR="00000000" w:rsidRPr="00000000">
        <w:rPr>
          <w:rFonts w:ascii="Arial" w:cs="Arial" w:eastAsia="Arial" w:hAnsi="Arial"/>
          <w:sz w:val="24"/>
          <w:szCs w:val="24"/>
          <w:rtl w:val="0"/>
        </w:rPr>
        <w:t xml:space="preserve">on the basis set out above, award its Call-Off Contract to the successful Supplier in accordance with Paragraph 6. The Call-Off Contract shall:</w:t>
      </w:r>
      <w:r w:rsidDel="00000000" w:rsidR="00000000" w:rsidRPr="00000000">
        <w:rPr>
          <w:rtl w:val="0"/>
        </w:rPr>
      </w:r>
    </w:p>
    <w:p w:rsidR="00000000" w:rsidDel="00000000" w:rsidP="00000000" w:rsidRDefault="00000000" w:rsidRPr="00000000" w14:paraId="00000023">
      <w:pPr>
        <w:widowControl w:val="1"/>
        <w:numPr>
          <w:ilvl w:val="3"/>
          <w:numId w:val="4"/>
        </w:numPr>
        <w:tabs>
          <w:tab w:val="left" w:pos="3641"/>
        </w:tabs>
        <w:spacing w:after="120" w:before="120" w:lineRule="auto"/>
        <w:ind w:left="3261" w:hanging="566.9999999999999"/>
        <w:jc w:val="both"/>
        <w:rPr>
          <w:rFonts w:ascii="Arial" w:cs="Arial" w:eastAsia="Arial" w:hAnsi="Arial"/>
        </w:rPr>
      </w:pPr>
      <w:r w:rsidDel="00000000" w:rsidR="00000000" w:rsidRPr="00000000">
        <w:rPr>
          <w:rFonts w:ascii="Arial" w:cs="Arial" w:eastAsia="Arial" w:hAnsi="Arial"/>
          <w:sz w:val="24"/>
          <w:szCs w:val="24"/>
          <w:rtl w:val="0"/>
        </w:rPr>
        <w:t xml:space="preserve">state the Deliverables;</w:t>
      </w:r>
      <w:r w:rsidDel="00000000" w:rsidR="00000000" w:rsidRPr="00000000">
        <w:rPr>
          <w:rtl w:val="0"/>
        </w:rPr>
      </w:r>
    </w:p>
    <w:p w:rsidR="00000000" w:rsidDel="00000000" w:rsidP="00000000" w:rsidRDefault="00000000" w:rsidRPr="00000000" w14:paraId="00000024">
      <w:pPr>
        <w:widowControl w:val="1"/>
        <w:numPr>
          <w:ilvl w:val="3"/>
          <w:numId w:val="4"/>
        </w:numPr>
        <w:tabs>
          <w:tab w:val="left" w:pos="3641"/>
        </w:tabs>
        <w:spacing w:after="120" w:before="120" w:lineRule="auto"/>
        <w:ind w:left="3261" w:hanging="566.9999999999999"/>
        <w:jc w:val="both"/>
        <w:rPr>
          <w:rFonts w:ascii="Arial" w:cs="Arial" w:eastAsia="Arial" w:hAnsi="Arial"/>
        </w:rPr>
      </w:pPr>
      <w:r w:rsidDel="00000000" w:rsidR="00000000" w:rsidRPr="00000000">
        <w:rPr>
          <w:rFonts w:ascii="Arial" w:cs="Arial" w:eastAsia="Arial" w:hAnsi="Arial"/>
          <w:sz w:val="24"/>
          <w:szCs w:val="24"/>
          <w:rtl w:val="0"/>
        </w:rPr>
        <w:t xml:space="preserve">state the tender submitted by the successful Supplier;</w:t>
      </w:r>
      <w:r w:rsidDel="00000000" w:rsidR="00000000" w:rsidRPr="00000000">
        <w:rPr>
          <w:rtl w:val="0"/>
        </w:rPr>
      </w:r>
    </w:p>
    <w:p w:rsidR="00000000" w:rsidDel="00000000" w:rsidP="00000000" w:rsidRDefault="00000000" w:rsidRPr="00000000" w14:paraId="00000025">
      <w:pPr>
        <w:widowControl w:val="1"/>
        <w:numPr>
          <w:ilvl w:val="3"/>
          <w:numId w:val="4"/>
        </w:numPr>
        <w:tabs>
          <w:tab w:val="left" w:pos="3641"/>
        </w:tabs>
        <w:spacing w:after="120" w:before="120" w:lineRule="auto"/>
        <w:ind w:left="3261" w:hanging="566.9999999999999"/>
        <w:jc w:val="both"/>
        <w:rPr>
          <w:rFonts w:ascii="Arial" w:cs="Arial" w:eastAsia="Arial" w:hAnsi="Arial"/>
        </w:rPr>
      </w:pPr>
      <w:r w:rsidDel="00000000" w:rsidR="00000000" w:rsidRPr="00000000">
        <w:rPr>
          <w:rFonts w:ascii="Arial" w:cs="Arial" w:eastAsia="Arial" w:hAnsi="Arial"/>
          <w:sz w:val="24"/>
          <w:szCs w:val="24"/>
          <w:rtl w:val="0"/>
        </w:rPr>
        <w:t xml:space="preserve">state the Charges payable for the Deliverables in accordance with the tender submitted by the successful Supplier; and</w:t>
      </w:r>
      <w:r w:rsidDel="00000000" w:rsidR="00000000" w:rsidRPr="00000000">
        <w:rPr>
          <w:rtl w:val="0"/>
        </w:rPr>
      </w:r>
    </w:p>
    <w:p w:rsidR="00000000" w:rsidDel="00000000" w:rsidP="00000000" w:rsidRDefault="00000000" w:rsidRPr="00000000" w14:paraId="00000026">
      <w:pPr>
        <w:widowControl w:val="1"/>
        <w:numPr>
          <w:ilvl w:val="3"/>
          <w:numId w:val="4"/>
        </w:numPr>
        <w:tabs>
          <w:tab w:val="left" w:pos="3641"/>
        </w:tabs>
        <w:spacing w:after="120" w:before="120" w:lineRule="auto"/>
        <w:ind w:left="3261" w:hanging="566.9999999999999"/>
        <w:jc w:val="both"/>
        <w:rPr>
          <w:rFonts w:ascii="Arial" w:cs="Arial" w:eastAsia="Arial" w:hAnsi="Arial"/>
        </w:rPr>
      </w:pPr>
      <w:r w:rsidDel="00000000" w:rsidR="00000000" w:rsidRPr="00000000">
        <w:rPr>
          <w:rFonts w:ascii="Arial" w:cs="Arial" w:eastAsia="Arial" w:hAnsi="Arial"/>
          <w:sz w:val="24"/>
          <w:szCs w:val="24"/>
          <w:rtl w:val="0"/>
        </w:rPr>
        <w:t xml:space="preserve">incorporate the terms of the Order Form and Contract (as may be amended or refined by the Buyer in accordance with Paragraph 3.1.2. above) applicable to the Deliverables; and</w:t>
      </w:r>
      <w:r w:rsidDel="00000000" w:rsidR="00000000" w:rsidRPr="00000000">
        <w:rPr>
          <w:rtl w:val="0"/>
        </w:rPr>
      </w:r>
    </w:p>
    <w:p w:rsidR="00000000" w:rsidDel="00000000" w:rsidP="00000000" w:rsidRDefault="00000000" w:rsidRPr="00000000" w14:paraId="00000027">
      <w:pPr>
        <w:widowControl w:val="1"/>
        <w:numPr>
          <w:ilvl w:val="2"/>
          <w:numId w:val="5"/>
        </w:numPr>
        <w:tabs>
          <w:tab w:val="left" w:pos="3641"/>
        </w:tabs>
        <w:spacing w:after="120" w:before="120" w:lineRule="auto"/>
        <w:ind w:left="2610" w:hanging="720"/>
        <w:jc w:val="both"/>
        <w:rPr>
          <w:rFonts w:ascii="Arial" w:cs="Arial" w:eastAsia="Arial" w:hAnsi="Arial"/>
        </w:rPr>
      </w:pPr>
      <w:r w:rsidDel="00000000" w:rsidR="00000000" w:rsidRPr="00000000">
        <w:rPr>
          <w:rFonts w:ascii="Arial" w:cs="Arial" w:eastAsia="Arial" w:hAnsi="Arial"/>
          <w:sz w:val="24"/>
          <w:szCs w:val="24"/>
          <w:rtl w:val="0"/>
        </w:rPr>
        <w:t xml:space="preserve">provide unsuccessful Suppliers with written feedback in relation to the reasons why their tenders were unsuccessful.</w:t>
      </w:r>
      <w:r w:rsidDel="00000000" w:rsidR="00000000" w:rsidRPr="00000000">
        <w:rPr>
          <w:rtl w:val="0"/>
        </w:rPr>
      </w:r>
    </w:p>
    <w:p w:rsidR="00000000" w:rsidDel="00000000" w:rsidP="00000000" w:rsidRDefault="00000000" w:rsidRPr="00000000" w14:paraId="00000028">
      <w:pPr>
        <w:keepNext w:val="1"/>
        <w:widowControl w:val="1"/>
        <w:pBdr>
          <w:top w:space="0" w:sz="0" w:val="nil"/>
          <w:left w:space="0" w:sz="0" w:val="nil"/>
          <w:bottom w:space="0" w:sz="0" w:val="nil"/>
          <w:right w:space="0" w:sz="0" w:val="nil"/>
          <w:between w:space="0" w:sz="0" w:val="nil"/>
        </w:pBdr>
        <w:tabs>
          <w:tab w:val="left" w:pos="3054"/>
        </w:tabs>
        <w:spacing w:after="120" w:before="12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Supplier has to do</w:t>
      </w:r>
    </w:p>
    <w:p w:rsidR="00000000" w:rsidDel="00000000" w:rsidP="00000000" w:rsidRDefault="00000000" w:rsidRPr="00000000" w14:paraId="00000029">
      <w:pPr>
        <w:keepNext w:val="1"/>
        <w:widowControl w:val="1"/>
        <w:numPr>
          <w:ilvl w:val="1"/>
          <w:numId w:val="5"/>
        </w:numPr>
        <w:pBdr>
          <w:top w:space="0" w:sz="0" w:val="nil"/>
          <w:left w:space="0" w:sz="0" w:val="nil"/>
          <w:bottom w:space="0" w:sz="0" w:val="nil"/>
          <w:right w:space="0" w:sz="0" w:val="nil"/>
          <w:between w:space="0" w:sz="0" w:val="nil"/>
        </w:pBdr>
        <w:tabs>
          <w:tab w:val="left" w:pos="3054"/>
        </w:tabs>
        <w:spacing w:after="120" w:before="120" w:lineRule="auto"/>
        <w:ind w:left="1080" w:hanging="36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shall in writing, by the time and date specified by the Buyer following an invitation to tender pursuant to Paragraph 3.1.3 above, provide CCS and the Buyer with either:</w:t>
      </w:r>
      <w:r w:rsidDel="00000000" w:rsidR="00000000" w:rsidRPr="00000000">
        <w:rPr>
          <w:rtl w:val="0"/>
        </w:rPr>
      </w:r>
    </w:p>
    <w:p w:rsidR="00000000" w:rsidDel="00000000" w:rsidP="00000000" w:rsidRDefault="00000000" w:rsidRPr="00000000" w14:paraId="0000002A">
      <w:pPr>
        <w:widowControl w:val="1"/>
        <w:numPr>
          <w:ilvl w:val="2"/>
          <w:numId w:val="5"/>
        </w:numPr>
        <w:pBdr>
          <w:top w:space="0" w:sz="0" w:val="nil"/>
          <w:left w:space="0" w:sz="0" w:val="nil"/>
          <w:bottom w:space="0" w:sz="0" w:val="nil"/>
          <w:right w:space="0" w:sz="0" w:val="nil"/>
          <w:between w:space="0" w:sz="0" w:val="nil"/>
        </w:pBdr>
        <w:tabs>
          <w:tab w:val="left" w:pos="3641"/>
        </w:tabs>
        <w:spacing w:after="120" w:before="120" w:lineRule="auto"/>
        <w:ind w:left="261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to the effect that it does not wish to tender in relation to the Deliverables; or</w:t>
      </w:r>
    </w:p>
    <w:p w:rsidR="00000000" w:rsidDel="00000000" w:rsidP="00000000" w:rsidRDefault="00000000" w:rsidRPr="00000000" w14:paraId="0000002B">
      <w:pPr>
        <w:keepNext w:val="1"/>
        <w:widowControl w:val="1"/>
        <w:numPr>
          <w:ilvl w:val="2"/>
          <w:numId w:val="5"/>
        </w:numPr>
        <w:pBdr>
          <w:top w:space="0" w:sz="0" w:val="nil"/>
          <w:left w:space="0" w:sz="0" w:val="nil"/>
          <w:bottom w:space="0" w:sz="0" w:val="nil"/>
          <w:right w:space="0" w:sz="0" w:val="nil"/>
          <w:between w:space="0" w:sz="0" w:val="nil"/>
        </w:pBdr>
        <w:tabs>
          <w:tab w:val="left" w:pos="3641"/>
        </w:tabs>
        <w:spacing w:after="120" w:before="120" w:lineRule="auto"/>
        <w:ind w:left="261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full details of its tender made in respect of the relevant Statement of Requirements. In the event that the Supplier submits such a tender, it should include, as a minimum:</w:t>
      </w:r>
    </w:p>
    <w:p w:rsidR="00000000" w:rsidDel="00000000" w:rsidP="00000000" w:rsidRDefault="00000000" w:rsidRPr="00000000" w14:paraId="0000002C">
      <w:pPr>
        <w:widowControl w:val="1"/>
        <w:numPr>
          <w:ilvl w:val="3"/>
          <w:numId w:val="5"/>
        </w:numPr>
        <w:pBdr>
          <w:top w:space="0" w:sz="0" w:val="nil"/>
          <w:left w:space="0" w:sz="0" w:val="nil"/>
          <w:bottom w:space="0" w:sz="0" w:val="nil"/>
          <w:right w:space="0" w:sz="0" w:val="nil"/>
          <w:between w:space="0" w:sz="0" w:val="nil"/>
        </w:pBdr>
        <w:tabs>
          <w:tab w:val="left" w:pos="3261"/>
        </w:tabs>
        <w:spacing w:after="120" w:before="120" w:lineRule="auto"/>
        <w:ind w:left="3261" w:hanging="566.999999999999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email response subject line to comprise unique reference number and Supplier name, so as to clearly identify the Supplier;</w:t>
      </w:r>
    </w:p>
    <w:p w:rsidR="00000000" w:rsidDel="00000000" w:rsidP="00000000" w:rsidRDefault="00000000" w:rsidRPr="00000000" w14:paraId="0000002D">
      <w:pPr>
        <w:widowControl w:val="1"/>
        <w:numPr>
          <w:ilvl w:val="3"/>
          <w:numId w:val="5"/>
        </w:numPr>
        <w:pBdr>
          <w:top w:space="0" w:sz="0" w:val="nil"/>
          <w:left w:space="0" w:sz="0" w:val="nil"/>
          <w:bottom w:space="0" w:sz="0" w:val="nil"/>
          <w:right w:space="0" w:sz="0" w:val="nil"/>
          <w:between w:space="0" w:sz="0" w:val="nil"/>
        </w:pBdr>
        <w:tabs>
          <w:tab w:val="left" w:pos="3261"/>
        </w:tabs>
        <w:spacing w:after="120" w:before="120" w:lineRule="auto"/>
        <w:ind w:left="3261" w:hanging="566.999999999999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brief summary, in the email (followed by a confirmation letter), stating that the Supplier is bidding for the Statement of Requirements;</w:t>
      </w:r>
    </w:p>
    <w:p w:rsidR="00000000" w:rsidDel="00000000" w:rsidP="00000000" w:rsidRDefault="00000000" w:rsidRPr="00000000" w14:paraId="0000002E">
      <w:pPr>
        <w:widowControl w:val="1"/>
        <w:numPr>
          <w:ilvl w:val="3"/>
          <w:numId w:val="5"/>
        </w:numPr>
        <w:pBdr>
          <w:top w:space="0" w:sz="0" w:val="nil"/>
          <w:left w:space="0" w:sz="0" w:val="nil"/>
          <w:bottom w:space="0" w:sz="0" w:val="nil"/>
          <w:right w:space="0" w:sz="0" w:val="nil"/>
          <w:between w:space="0" w:sz="0" w:val="nil"/>
        </w:pBdr>
        <w:tabs>
          <w:tab w:val="left" w:pos="3261"/>
        </w:tabs>
        <w:spacing w:after="120" w:before="120" w:lineRule="auto"/>
        <w:ind w:left="3261" w:hanging="566.999999999999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proposal covering the Deliverables;</w:t>
      </w:r>
    </w:p>
    <w:p w:rsidR="00000000" w:rsidDel="00000000" w:rsidP="00000000" w:rsidRDefault="00000000" w:rsidRPr="00000000" w14:paraId="0000002F">
      <w:pPr>
        <w:widowControl w:val="1"/>
        <w:numPr>
          <w:ilvl w:val="3"/>
          <w:numId w:val="5"/>
        </w:numPr>
        <w:pBdr>
          <w:top w:space="0" w:sz="0" w:val="nil"/>
          <w:left w:space="0" w:sz="0" w:val="nil"/>
          <w:bottom w:space="0" w:sz="0" w:val="nil"/>
          <w:right w:space="0" w:sz="0" w:val="nil"/>
          <w:between w:space="0" w:sz="0" w:val="nil"/>
        </w:pBdr>
        <w:tabs>
          <w:tab w:val="left" w:pos="3261"/>
        </w:tabs>
        <w:spacing w:after="120" w:before="120" w:lineRule="auto"/>
        <w:ind w:left="3261" w:hanging="566.999999999999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CVs of key staff – as a minimum any lead consultant, with others, as considered appropriate along with required staff levels (if necessary); and</w:t>
      </w:r>
    </w:p>
    <w:p w:rsidR="00000000" w:rsidDel="00000000" w:rsidP="00000000" w:rsidRDefault="00000000" w:rsidRPr="00000000" w14:paraId="00000030">
      <w:pPr>
        <w:widowControl w:val="1"/>
        <w:numPr>
          <w:ilvl w:val="3"/>
          <w:numId w:val="5"/>
        </w:numPr>
        <w:pBdr>
          <w:top w:space="0" w:sz="0" w:val="nil"/>
          <w:left w:space="0" w:sz="0" w:val="nil"/>
          <w:bottom w:space="0" w:sz="0" w:val="nil"/>
          <w:right w:space="0" w:sz="0" w:val="nil"/>
          <w:between w:space="0" w:sz="0" w:val="nil"/>
        </w:pBdr>
        <w:tabs>
          <w:tab w:val="left" w:pos="3261"/>
        </w:tabs>
        <w:spacing w:after="120" w:before="120" w:lineRule="auto"/>
        <w:ind w:left="3261" w:hanging="566.999999999999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of discounts applicable to the Deliverables, as referenced in Framework Schedule 3 (Framework Prices) (if applicable).</w:t>
      </w:r>
    </w:p>
    <w:p w:rsidR="00000000" w:rsidDel="00000000" w:rsidP="00000000" w:rsidRDefault="00000000" w:rsidRPr="00000000" w14:paraId="00000031">
      <w:pPr>
        <w:widowControl w:val="1"/>
        <w:numPr>
          <w:ilvl w:val="2"/>
          <w:numId w:val="5"/>
        </w:numPr>
        <w:pBdr>
          <w:top w:space="0" w:sz="0" w:val="nil"/>
          <w:left w:space="0" w:sz="0" w:val="nil"/>
          <w:bottom w:space="0" w:sz="0" w:val="nil"/>
          <w:right w:space="0" w:sz="0" w:val="nil"/>
          <w:between w:space="0" w:sz="0" w:val="nil"/>
        </w:pBdr>
        <w:tabs>
          <w:tab w:val="left" w:pos="3641"/>
        </w:tabs>
        <w:spacing w:after="120" w:before="120" w:lineRule="auto"/>
        <w:ind w:left="261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any prices submitted in relation to a Further Competition Procedure held pursuant to this Paragraph 3 shall be based on the charging structure and take into account any discount to which the Buyer may be entitled as set out in Framework Schedule 3 (Framework Prices).</w:t>
      </w:r>
    </w:p>
    <w:p w:rsidR="00000000" w:rsidDel="00000000" w:rsidP="00000000" w:rsidRDefault="00000000" w:rsidRPr="00000000" w14:paraId="00000032">
      <w:pPr>
        <w:keepNext w:val="1"/>
        <w:widowControl w:val="1"/>
        <w:numPr>
          <w:ilvl w:val="2"/>
          <w:numId w:val="5"/>
        </w:numPr>
        <w:pBdr>
          <w:top w:space="0" w:sz="0" w:val="nil"/>
          <w:left w:space="0" w:sz="0" w:val="nil"/>
          <w:bottom w:space="0" w:sz="0" w:val="nil"/>
          <w:right w:space="0" w:sz="0" w:val="nil"/>
          <w:between w:space="0" w:sz="0" w:val="nil"/>
        </w:pBdr>
        <w:tabs>
          <w:tab w:val="left" w:pos="3641"/>
        </w:tabs>
        <w:spacing w:after="120" w:before="120" w:lineRule="auto"/>
        <w:ind w:left="261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that:</w:t>
      </w:r>
    </w:p>
    <w:p w:rsidR="00000000" w:rsidDel="00000000" w:rsidP="00000000" w:rsidRDefault="00000000" w:rsidRPr="00000000" w14:paraId="00000033">
      <w:pPr>
        <w:widowControl w:val="1"/>
        <w:numPr>
          <w:ilvl w:val="3"/>
          <w:numId w:val="5"/>
        </w:numPr>
        <w:pBdr>
          <w:top w:space="0" w:sz="0" w:val="nil"/>
          <w:left w:space="0" w:sz="0" w:val="nil"/>
          <w:bottom w:space="0" w:sz="0" w:val="nil"/>
          <w:right w:space="0" w:sz="0" w:val="nil"/>
          <w:between w:space="0" w:sz="0" w:val="nil"/>
        </w:pBdr>
        <w:tabs>
          <w:tab w:val="left" w:pos="3261"/>
        </w:tabs>
        <w:spacing w:after="120" w:before="120" w:lineRule="auto"/>
        <w:ind w:left="3261" w:hanging="566.999999999999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in relation to a Further Competition Procedure held pursuant to this Paragraph 3 shall remain open for acceptance by the Buyer for ninety (90) Working Days (or such other period specified in the invitation to tender issued by the Buyer in accordance with the Call-Off Procedure); and</w:t>
      </w:r>
    </w:p>
    <w:p w:rsidR="00000000" w:rsidDel="00000000" w:rsidP="00000000" w:rsidRDefault="00000000" w:rsidRPr="00000000" w14:paraId="00000034">
      <w:pPr>
        <w:widowControl w:val="1"/>
        <w:numPr>
          <w:ilvl w:val="3"/>
          <w:numId w:val="5"/>
        </w:numPr>
        <w:pBdr>
          <w:top w:space="0" w:sz="0" w:val="nil"/>
          <w:left w:space="0" w:sz="0" w:val="nil"/>
          <w:bottom w:space="0" w:sz="0" w:val="nil"/>
          <w:right w:space="0" w:sz="0" w:val="nil"/>
          <w:between w:space="0" w:sz="0" w:val="nil"/>
        </w:pBdr>
        <w:tabs>
          <w:tab w:val="left" w:pos="3261"/>
        </w:tabs>
        <w:spacing w:after="120" w:before="120" w:lineRule="auto"/>
        <w:ind w:left="3261" w:hanging="566.999999999999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rsidR="00000000" w:rsidDel="00000000" w:rsidP="00000000" w:rsidRDefault="00000000" w:rsidRPr="00000000" w14:paraId="00000035">
      <w:pPr>
        <w:widowControl w:val="1"/>
        <w:numPr>
          <w:ilvl w:val="4"/>
          <w:numId w:val="5"/>
        </w:numPr>
        <w:pBdr>
          <w:top w:space="0" w:sz="0" w:val="nil"/>
          <w:left w:space="0" w:sz="0" w:val="nil"/>
          <w:bottom w:space="0" w:sz="0" w:val="nil"/>
          <w:right w:space="0" w:sz="0" w:val="nil"/>
          <w:between w:space="0" w:sz="0" w:val="nil"/>
        </w:pBdr>
        <w:tabs>
          <w:tab w:val="left" w:pos="6238"/>
        </w:tabs>
        <w:spacing w:after="120" w:before="120" w:lineRule="auto"/>
        <w:ind w:left="3686" w:hanging="566.000000000000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000000" w:rsidDel="00000000" w:rsidP="00000000" w:rsidRDefault="00000000" w:rsidRPr="00000000" w14:paraId="00000036">
      <w:pPr>
        <w:widowControl w:val="1"/>
        <w:numPr>
          <w:ilvl w:val="4"/>
          <w:numId w:val="5"/>
        </w:numPr>
        <w:pBdr>
          <w:top w:space="0" w:sz="0" w:val="nil"/>
          <w:left w:space="0" w:sz="0" w:val="nil"/>
          <w:bottom w:space="0" w:sz="0" w:val="nil"/>
          <w:right w:space="0" w:sz="0" w:val="nil"/>
          <w:between w:space="0" w:sz="0" w:val="nil"/>
        </w:pBdr>
        <w:tabs>
          <w:tab w:val="left" w:pos="6238"/>
        </w:tabs>
        <w:spacing w:after="120" w:before="120" w:lineRule="auto"/>
        <w:ind w:left="3686" w:hanging="566.000000000000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enter into any arrangement or agreement with any other person that he or the other person(s) shall refrain from submitting a tender or as to the amount of any tenders to be submitted.</w:t>
      </w:r>
    </w:p>
    <w:p w:rsidR="00000000" w:rsidDel="00000000" w:rsidP="00000000" w:rsidRDefault="00000000" w:rsidRPr="00000000" w14:paraId="00000037">
      <w:pPr>
        <w:keepNext w:val="1"/>
        <w:widowControl w:val="1"/>
        <w:numPr>
          <w:ilvl w:val="0"/>
          <w:numId w:val="5"/>
        </w:numPr>
        <w:pBdr>
          <w:top w:space="0" w:sz="0" w:val="nil"/>
          <w:left w:space="0" w:sz="0" w:val="nil"/>
          <w:bottom w:space="0" w:sz="0" w:val="nil"/>
          <w:right w:space="0" w:sz="0" w:val="nil"/>
          <w:between w:space="0" w:sz="0" w:val="nil"/>
        </w:pBdr>
        <w:tabs>
          <w:tab w:val="left" w:pos="142"/>
        </w:tabs>
        <w:spacing w:after="240" w:before="120" w:lineRule="auto"/>
        <w:ind w:left="360" w:hanging="360"/>
        <w:jc w:val="both"/>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No requirement to award</w:t>
      </w:r>
      <w:r w:rsidDel="00000000" w:rsidR="00000000" w:rsidRPr="00000000">
        <w:rPr>
          <w:rtl w:val="0"/>
        </w:rPr>
      </w:r>
    </w:p>
    <w:p w:rsidR="00000000" w:rsidDel="00000000" w:rsidP="00000000" w:rsidRDefault="00000000" w:rsidRPr="00000000" w14:paraId="00000038">
      <w:pPr>
        <w:widowControl w:val="1"/>
        <w:numPr>
          <w:ilvl w:val="1"/>
          <w:numId w:val="5"/>
        </w:numPr>
        <w:pBdr>
          <w:top w:space="0" w:sz="0" w:val="nil"/>
          <w:left w:space="0" w:sz="0" w:val="nil"/>
          <w:bottom w:space="0" w:sz="0" w:val="nil"/>
          <w:right w:space="0" w:sz="0" w:val="nil"/>
          <w:between w:space="0" w:sz="0" w:val="nil"/>
        </w:pBdr>
        <w:tabs>
          <w:tab w:val="left" w:pos="3054"/>
        </w:tabs>
        <w:spacing w:after="120" w:before="120" w:lineRule="auto"/>
        <w:ind w:left="108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the fact that the Buyer has followed a procedure as set out above in Paragraph 2 or 3 (as applicable), the Supplier acknowledges and agrees that the Buyer shall be entitled at all times to decline to make an award for its Deliverables and that nothing in this Contract shall oblige the Buyer to award any Call-Off Contract.</w:t>
      </w:r>
    </w:p>
    <w:p w:rsidR="00000000" w:rsidDel="00000000" w:rsidP="00000000" w:rsidRDefault="00000000" w:rsidRPr="00000000" w14:paraId="00000039">
      <w:pPr>
        <w:keepNext w:val="1"/>
        <w:widowControl w:val="1"/>
        <w:numPr>
          <w:ilvl w:val="0"/>
          <w:numId w:val="5"/>
        </w:numPr>
        <w:pBdr>
          <w:top w:space="0" w:sz="0" w:val="nil"/>
          <w:left w:space="0" w:sz="0" w:val="nil"/>
          <w:bottom w:space="0" w:sz="0" w:val="nil"/>
          <w:right w:space="0" w:sz="0" w:val="nil"/>
          <w:between w:space="0" w:sz="0" w:val="nil"/>
        </w:pBdr>
        <w:tabs>
          <w:tab w:val="left" w:pos="142"/>
        </w:tabs>
        <w:spacing w:after="240" w:before="120" w:lineRule="auto"/>
        <w:ind w:left="360" w:hanging="360"/>
        <w:jc w:val="both"/>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Who is responsible for the award</w:t>
      </w:r>
    </w:p>
    <w:p w:rsidR="00000000" w:rsidDel="00000000" w:rsidP="00000000" w:rsidRDefault="00000000" w:rsidRPr="00000000" w14:paraId="0000003A">
      <w:pPr>
        <w:widowControl w:val="1"/>
        <w:numPr>
          <w:ilvl w:val="1"/>
          <w:numId w:val="5"/>
        </w:numPr>
        <w:pBdr>
          <w:top w:space="0" w:sz="0" w:val="nil"/>
          <w:left w:space="0" w:sz="0" w:val="nil"/>
          <w:bottom w:space="0" w:sz="0" w:val="nil"/>
          <w:right w:space="0" w:sz="0" w:val="nil"/>
          <w:between w:space="0" w:sz="0" w:val="nil"/>
        </w:pBdr>
        <w:tabs>
          <w:tab w:val="left" w:pos="3054"/>
        </w:tabs>
        <w:spacing w:after="120" w:before="120" w:lineRule="auto"/>
        <w:ind w:left="108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rsidR="00000000" w:rsidDel="00000000" w:rsidP="00000000" w:rsidRDefault="00000000" w:rsidRPr="00000000" w14:paraId="0000003B">
      <w:pPr>
        <w:widowControl w:val="1"/>
        <w:numPr>
          <w:ilvl w:val="2"/>
          <w:numId w:val="5"/>
        </w:numPr>
        <w:pBdr>
          <w:top w:space="0" w:sz="0" w:val="nil"/>
          <w:left w:space="0" w:sz="0" w:val="nil"/>
          <w:bottom w:space="0" w:sz="0" w:val="nil"/>
          <w:right w:space="0" w:sz="0" w:val="nil"/>
          <w:between w:space="0" w:sz="0" w:val="nil"/>
        </w:pBdr>
        <w:tabs>
          <w:tab w:val="left" w:pos="3641"/>
        </w:tabs>
        <w:spacing w:after="120" w:before="120" w:lineRule="auto"/>
        <w:ind w:left="261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conduct of Buyer in relation to this Contract; or</w:t>
      </w:r>
    </w:p>
    <w:p w:rsidR="00000000" w:rsidDel="00000000" w:rsidP="00000000" w:rsidRDefault="00000000" w:rsidRPr="00000000" w14:paraId="0000003C">
      <w:pPr>
        <w:widowControl w:val="1"/>
        <w:numPr>
          <w:ilvl w:val="2"/>
          <w:numId w:val="5"/>
        </w:numPr>
        <w:pBdr>
          <w:top w:space="0" w:sz="0" w:val="nil"/>
          <w:left w:space="0" w:sz="0" w:val="nil"/>
          <w:bottom w:space="0" w:sz="0" w:val="nil"/>
          <w:right w:space="0" w:sz="0" w:val="nil"/>
          <w:between w:space="0" w:sz="0" w:val="nil"/>
        </w:pBdr>
        <w:tabs>
          <w:tab w:val="left" w:pos="3641"/>
        </w:tabs>
        <w:spacing w:after="120" w:before="120" w:lineRule="auto"/>
        <w:ind w:left="261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or non-performance of any Call-Off Contracts between the Supplier and Buyer entered into pursuant to this Contract.</w:t>
      </w:r>
    </w:p>
    <w:p w:rsidR="00000000" w:rsidDel="00000000" w:rsidP="00000000" w:rsidRDefault="00000000" w:rsidRPr="00000000" w14:paraId="0000003D">
      <w:pPr>
        <w:keepNext w:val="1"/>
        <w:widowControl w:val="1"/>
        <w:numPr>
          <w:ilvl w:val="0"/>
          <w:numId w:val="5"/>
        </w:numPr>
        <w:pBdr>
          <w:top w:space="0" w:sz="0" w:val="nil"/>
          <w:left w:space="0" w:sz="0" w:val="nil"/>
          <w:bottom w:space="0" w:sz="0" w:val="nil"/>
          <w:right w:space="0" w:sz="0" w:val="nil"/>
          <w:between w:space="0" w:sz="0" w:val="nil"/>
        </w:pBdr>
        <w:tabs>
          <w:tab w:val="left" w:pos="142"/>
        </w:tabs>
        <w:spacing w:after="240" w:before="120" w:lineRule="auto"/>
        <w:ind w:left="360" w:hanging="360"/>
        <w:jc w:val="both"/>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Awarding and creating a Call-Off Contract</w:t>
      </w:r>
      <w:r w:rsidDel="00000000" w:rsidR="00000000" w:rsidRPr="00000000">
        <w:rPr>
          <w:rtl w:val="0"/>
        </w:rPr>
      </w:r>
    </w:p>
    <w:p w:rsidR="00000000" w:rsidDel="00000000" w:rsidP="00000000" w:rsidRDefault="00000000" w:rsidRPr="00000000" w14:paraId="0000003E">
      <w:pPr>
        <w:widowControl w:val="1"/>
        <w:numPr>
          <w:ilvl w:val="1"/>
          <w:numId w:val="5"/>
        </w:numPr>
        <w:pBdr>
          <w:top w:space="0" w:sz="0" w:val="nil"/>
          <w:left w:space="0" w:sz="0" w:val="nil"/>
          <w:bottom w:space="0" w:sz="0" w:val="nil"/>
          <w:right w:space="0" w:sz="0" w:val="nil"/>
          <w:between w:space="0" w:sz="0" w:val="nil"/>
        </w:pBdr>
        <w:tabs>
          <w:tab w:val="left" w:pos="3054"/>
        </w:tabs>
        <w:spacing w:after="120" w:before="120" w:lineRule="auto"/>
        <w:ind w:left="1080" w:hanging="360"/>
        <w:jc w:val="both"/>
        <w:rPr>
          <w:rFonts w:ascii="Arial" w:cs="Arial" w:eastAsia="Arial" w:hAnsi="Arial"/>
          <w:color w:val="000000"/>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Subject to Paragraphs 1 to 5 above and 7, a Buyer may award a Call-Off Contract with the Supplier by sending (including electronically) a signed order form substantially in the form (as may be amended or refined by the Buyer in accordance with Paragraph 3.1.2 above) of the Order Form Template set out in Framework Schedule 6A (Order Form Template and Call-Off Schedules – Direct Award) or Framework Schedule 6B (Order Form Template and Call-Off Schedules – Further Competition), as applicable.</w:t>
      </w:r>
    </w:p>
    <w:p w:rsidR="00000000" w:rsidDel="00000000" w:rsidP="00000000" w:rsidRDefault="00000000" w:rsidRPr="00000000" w14:paraId="0000003F">
      <w:pPr>
        <w:widowControl w:val="1"/>
        <w:numPr>
          <w:ilvl w:val="1"/>
          <w:numId w:val="5"/>
        </w:numPr>
        <w:pBdr>
          <w:top w:space="0" w:sz="0" w:val="nil"/>
          <w:left w:space="0" w:sz="0" w:val="nil"/>
          <w:bottom w:space="0" w:sz="0" w:val="nil"/>
          <w:right w:space="0" w:sz="0" w:val="nil"/>
          <w:between w:space="0" w:sz="0" w:val="nil"/>
        </w:pBdr>
        <w:tabs>
          <w:tab w:val="left" w:pos="3054"/>
        </w:tabs>
        <w:spacing w:after="120" w:before="120" w:lineRule="auto"/>
        <w:ind w:left="108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agree that any document or communication (including any document or communication in the apparent form of a Call-Off Contract) which is not as described in this Paragraph 6 shall not constitute a Call-Off Contract under this Contract.</w:t>
      </w:r>
    </w:p>
    <w:p w:rsidR="00000000" w:rsidDel="00000000" w:rsidP="00000000" w:rsidRDefault="00000000" w:rsidRPr="00000000" w14:paraId="00000040">
      <w:pPr>
        <w:widowControl w:val="1"/>
        <w:numPr>
          <w:ilvl w:val="1"/>
          <w:numId w:val="5"/>
        </w:numPr>
        <w:pBdr>
          <w:top w:space="0" w:sz="0" w:val="nil"/>
          <w:left w:space="0" w:sz="0" w:val="nil"/>
          <w:bottom w:space="0" w:sz="0" w:val="nil"/>
          <w:right w:space="0" w:sz="0" w:val="nil"/>
          <w:between w:space="0" w:sz="0" w:val="nil"/>
        </w:pBdr>
        <w:tabs>
          <w:tab w:val="left" w:pos="3054"/>
        </w:tabs>
        <w:spacing w:after="120" w:before="120" w:lineRule="auto"/>
        <w:ind w:left="1080" w:hanging="360"/>
        <w:jc w:val="both"/>
        <w:rPr>
          <w:rFonts w:ascii="Arial" w:cs="Arial" w:eastAsia="Arial" w:hAnsi="Arial"/>
          <w:color w:val="000000"/>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On receipt of an order form as described in Paragraph 6.1 from a Buyer the Supplier shall accept the Call-Off Contract by promptly signing and returning (including by electronic means) a copy of the order form to the Buyer concerned.</w:t>
      </w:r>
    </w:p>
    <w:p w:rsidR="00000000" w:rsidDel="00000000" w:rsidP="00000000" w:rsidRDefault="00000000" w:rsidRPr="00000000" w14:paraId="00000041">
      <w:pPr>
        <w:widowControl w:val="1"/>
        <w:numPr>
          <w:ilvl w:val="1"/>
          <w:numId w:val="5"/>
        </w:numPr>
        <w:pBdr>
          <w:top w:space="0" w:sz="0" w:val="nil"/>
          <w:left w:space="0" w:sz="0" w:val="nil"/>
          <w:bottom w:space="0" w:sz="0" w:val="nil"/>
          <w:right w:space="0" w:sz="0" w:val="nil"/>
          <w:between w:space="0" w:sz="0" w:val="nil"/>
        </w:pBdr>
        <w:tabs>
          <w:tab w:val="left" w:pos="3054"/>
        </w:tabs>
        <w:spacing w:after="120" w:before="120" w:lineRule="auto"/>
        <w:ind w:left="108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rsidR="00000000" w:rsidDel="00000000" w:rsidP="00000000" w:rsidRDefault="00000000" w:rsidRPr="00000000" w14:paraId="00000042">
      <w:pPr>
        <w:keepNext w:val="1"/>
        <w:widowControl w:val="1"/>
        <w:numPr>
          <w:ilvl w:val="0"/>
          <w:numId w:val="5"/>
        </w:numPr>
        <w:pBdr>
          <w:top w:space="0" w:sz="0" w:val="nil"/>
          <w:left w:space="0" w:sz="0" w:val="nil"/>
          <w:bottom w:space="0" w:sz="0" w:val="nil"/>
          <w:right w:space="0" w:sz="0" w:val="nil"/>
          <w:between w:space="0" w:sz="0" w:val="nil"/>
        </w:pBdr>
        <w:tabs>
          <w:tab w:val="left" w:pos="142"/>
        </w:tabs>
        <w:spacing w:after="240" w:before="120" w:lineRule="auto"/>
        <w:ind w:left="360" w:hanging="360"/>
        <w:jc w:val="both"/>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Awarding and creating an Exempt Call-off Contract</w:t>
      </w:r>
    </w:p>
    <w:p w:rsidR="00000000" w:rsidDel="00000000" w:rsidP="00000000" w:rsidRDefault="00000000" w:rsidRPr="00000000" w14:paraId="00000043">
      <w:pPr>
        <w:keepNext w:val="1"/>
        <w:widowControl w:val="1"/>
        <w:numPr>
          <w:ilvl w:val="1"/>
          <w:numId w:val="5"/>
        </w:numPr>
        <w:pBdr>
          <w:top w:space="0" w:sz="0" w:val="nil"/>
          <w:left w:space="0" w:sz="0" w:val="nil"/>
          <w:bottom w:space="0" w:sz="0" w:val="nil"/>
          <w:right w:space="0" w:sz="0" w:val="nil"/>
          <w:between w:space="0" w:sz="0" w:val="nil"/>
        </w:pBdr>
        <w:tabs>
          <w:tab w:val="left" w:pos="3054"/>
        </w:tabs>
        <w:spacing w:after="120" w:before="120" w:lineRule="auto"/>
        <w:ind w:left="108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Paragraph 1 above shall not apply to an Exempt Buyer.</w:t>
      </w:r>
    </w:p>
    <w:p w:rsidR="00000000" w:rsidDel="00000000" w:rsidP="00000000" w:rsidRDefault="00000000" w:rsidRPr="00000000" w14:paraId="00000044">
      <w:pPr>
        <w:keepNext w:val="1"/>
        <w:widowControl w:val="1"/>
        <w:numPr>
          <w:ilvl w:val="1"/>
          <w:numId w:val="5"/>
        </w:numPr>
        <w:pBdr>
          <w:top w:space="0" w:sz="0" w:val="nil"/>
          <w:left w:space="0" w:sz="0" w:val="nil"/>
          <w:bottom w:space="0" w:sz="0" w:val="nil"/>
          <w:right w:space="0" w:sz="0" w:val="nil"/>
          <w:between w:space="0" w:sz="0" w:val="nil"/>
        </w:pBdr>
        <w:tabs>
          <w:tab w:val="left" w:pos="3054"/>
        </w:tabs>
        <w:spacing w:after="120" w:before="120" w:lineRule="auto"/>
        <w:ind w:left="108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If a potential Exempt Buyer decides to source Deliverables through this Framework Contract, it will award an Exempt Call-Off Contract for Deliverables in accordance with the procedure in this Schedule as modified by this Paragraph 7 and in accordance with any legal requirements applicable to that potential Exempt Buyer.</w:t>
      </w:r>
    </w:p>
    <w:p w:rsidR="00000000" w:rsidDel="00000000" w:rsidP="00000000" w:rsidRDefault="00000000" w:rsidRPr="00000000" w14:paraId="00000045">
      <w:pPr>
        <w:keepNext w:val="1"/>
        <w:widowControl w:val="1"/>
        <w:numPr>
          <w:ilvl w:val="1"/>
          <w:numId w:val="5"/>
        </w:numPr>
        <w:pBdr>
          <w:top w:space="0" w:sz="0" w:val="nil"/>
          <w:left w:space="0" w:sz="0" w:val="nil"/>
          <w:bottom w:space="0" w:sz="0" w:val="nil"/>
          <w:right w:space="0" w:sz="0" w:val="nil"/>
          <w:between w:space="0" w:sz="0" w:val="nil"/>
        </w:pBdr>
        <w:tabs>
          <w:tab w:val="left" w:pos="3054"/>
        </w:tabs>
        <w:spacing w:after="120" w:before="120" w:lineRule="auto"/>
        <w:ind w:left="108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potential Exempt Buyer may award an Exempt Call-Off Contract under this Framework Contract without holding a further competition in accordance with Paragraph 2 above as modified by Paragraph 7.4 below or through a Further Competition Procedure in accordance with Paragraph 3 as modified by Paragraph 7.5 below.</w:t>
      </w:r>
    </w:p>
    <w:p w:rsidR="00000000" w:rsidDel="00000000" w:rsidP="00000000" w:rsidRDefault="00000000" w:rsidRPr="00000000" w14:paraId="00000046">
      <w:pPr>
        <w:keepNext w:val="1"/>
        <w:widowControl w:val="1"/>
        <w:numPr>
          <w:ilvl w:val="1"/>
          <w:numId w:val="5"/>
        </w:numPr>
        <w:pBdr>
          <w:top w:space="0" w:sz="0" w:val="nil"/>
          <w:left w:space="0" w:sz="0" w:val="nil"/>
          <w:bottom w:space="0" w:sz="0" w:val="nil"/>
          <w:right w:space="0" w:sz="0" w:val="nil"/>
          <w:between w:space="0" w:sz="0" w:val="nil"/>
        </w:pBdr>
        <w:tabs>
          <w:tab w:val="left" w:pos="3054"/>
        </w:tabs>
        <w:spacing w:after="120" w:before="120" w:lineRule="auto"/>
        <w:ind w:left="108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the procedure set out in Paragraph 2 above, if the potential Exempt Buyer can determine that:</w:t>
      </w:r>
    </w:p>
    <w:p w:rsidR="00000000" w:rsidDel="00000000" w:rsidP="00000000" w:rsidRDefault="00000000" w:rsidRPr="00000000" w14:paraId="00000047">
      <w:pPr>
        <w:widowControl w:val="1"/>
        <w:numPr>
          <w:ilvl w:val="2"/>
          <w:numId w:val="5"/>
        </w:numPr>
        <w:pBdr>
          <w:top w:space="0" w:sz="0" w:val="nil"/>
          <w:left w:space="0" w:sz="0" w:val="nil"/>
          <w:bottom w:space="0" w:sz="0" w:val="nil"/>
          <w:right w:space="0" w:sz="0" w:val="nil"/>
          <w:between w:space="0" w:sz="0" w:val="nil"/>
        </w:pBdr>
        <w:tabs>
          <w:tab w:val="left" w:pos="3641"/>
        </w:tabs>
        <w:spacing w:after="120" w:before="120" w:lineRule="auto"/>
        <w:ind w:left="261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 Framework Schedule 2 (Framework Tender); and</w:t>
      </w:r>
    </w:p>
    <w:p w:rsidR="00000000" w:rsidDel="00000000" w:rsidP="00000000" w:rsidRDefault="00000000" w:rsidRPr="00000000" w14:paraId="00000048">
      <w:pPr>
        <w:widowControl w:val="1"/>
        <w:numPr>
          <w:ilvl w:val="2"/>
          <w:numId w:val="5"/>
        </w:numPr>
        <w:pBdr>
          <w:top w:space="0" w:sz="0" w:val="nil"/>
          <w:left w:space="0" w:sz="0" w:val="nil"/>
          <w:bottom w:space="0" w:sz="0" w:val="nil"/>
          <w:right w:space="0" w:sz="0" w:val="nil"/>
          <w:between w:space="0" w:sz="0" w:val="nil"/>
        </w:pBdr>
        <w:tabs>
          <w:tab w:val="left" w:pos="3641"/>
        </w:tabs>
        <w:spacing w:after="120" w:before="120" w:lineRule="auto"/>
        <w:ind w:left="261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accept any required Exempt Procurement Amendments,</w:t>
      </w:r>
    </w:p>
    <w:p w:rsidR="00000000" w:rsidDel="00000000" w:rsidP="00000000" w:rsidRDefault="00000000" w:rsidRPr="00000000" w14:paraId="00000049">
      <w:pPr>
        <w:widowControl w:val="1"/>
        <w:pBdr>
          <w:top w:space="0" w:sz="0" w:val="nil"/>
          <w:left w:space="0" w:sz="0" w:val="nil"/>
          <w:bottom w:space="0" w:sz="0" w:val="nil"/>
          <w:right w:space="0" w:sz="0" w:val="nil"/>
          <w:between w:space="0" w:sz="0" w:val="nil"/>
        </w:pBdr>
        <w:tabs>
          <w:tab w:val="left" w:pos="3641"/>
        </w:tabs>
        <w:spacing w:after="120" w:before="120" w:lineRule="auto"/>
        <w:ind w:left="189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Exempt Buyer may award an Exempt Call-Off Contract to that Supplier in accordance with Paragraph 6 above.</w:t>
      </w:r>
    </w:p>
    <w:p w:rsidR="00000000" w:rsidDel="00000000" w:rsidP="00000000" w:rsidRDefault="00000000" w:rsidRPr="00000000" w14:paraId="0000004A">
      <w:pPr>
        <w:keepNext w:val="1"/>
        <w:widowControl w:val="1"/>
        <w:numPr>
          <w:ilvl w:val="1"/>
          <w:numId w:val="5"/>
        </w:numPr>
        <w:pBdr>
          <w:top w:space="0" w:sz="0" w:val="nil"/>
          <w:left w:space="0" w:sz="0" w:val="nil"/>
          <w:bottom w:space="0" w:sz="0" w:val="nil"/>
          <w:right w:space="0" w:sz="0" w:val="nil"/>
          <w:between w:space="0" w:sz="0" w:val="nil"/>
        </w:pBdr>
        <w:tabs>
          <w:tab w:val="left" w:pos="3054"/>
        </w:tabs>
        <w:spacing w:after="120" w:before="120" w:lineRule="auto"/>
        <w:ind w:left="108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potential Exempt Buyer requires the Supplier to develop proposals or a solution in respect of Deliverables, then the potential Exempt Buyer may at its discretion use the procedure set out in Paragraph 3 above as modified by this Paragraph 7.5. In that case, references to “the Regulations” in Paragraph 3 above shall be read as references to “any legal requirements applicable to that potential Exempt Buyer”, and the Exempt Buyer shall be permitted to modify the Further Competition Procedure in accordance with any legal requirements applicable to the Exempt Buyer.</w:t>
      </w:r>
    </w:p>
    <w:p w:rsidR="00000000" w:rsidDel="00000000" w:rsidP="00000000" w:rsidRDefault="00000000" w:rsidRPr="00000000" w14:paraId="0000004B">
      <w:pPr>
        <w:keepNext w:val="1"/>
        <w:widowControl w:val="1"/>
        <w:numPr>
          <w:ilvl w:val="1"/>
          <w:numId w:val="5"/>
        </w:numPr>
        <w:pBdr>
          <w:top w:space="0" w:sz="0" w:val="nil"/>
          <w:left w:space="0" w:sz="0" w:val="nil"/>
          <w:bottom w:space="0" w:sz="0" w:val="nil"/>
          <w:right w:space="0" w:sz="0" w:val="nil"/>
          <w:between w:space="0" w:sz="0" w:val="nil"/>
        </w:pBdr>
        <w:tabs>
          <w:tab w:val="left" w:pos="3054"/>
        </w:tabs>
        <w:spacing w:after="120" w:before="120" w:lineRule="auto"/>
        <w:ind w:left="1080" w:hanging="360"/>
        <w:jc w:val="both"/>
        <w:rPr>
          <w:rFonts w:ascii="Arial" w:cs="Arial" w:eastAsia="Arial" w:hAnsi="Arial"/>
          <w:color w:val="000000"/>
          <w:sz w:val="24"/>
          <w:szCs w:val="24"/>
        </w:rPr>
      </w:pPr>
      <w:bookmarkStart w:colFirst="0" w:colLast="0" w:name="_heading=h.3rdcrjn" w:id="8"/>
      <w:bookmarkEnd w:id="8"/>
      <w:r w:rsidDel="00000000" w:rsidR="00000000" w:rsidRPr="00000000">
        <w:rPr>
          <w:rFonts w:ascii="Arial" w:cs="Arial" w:eastAsia="Arial" w:hAnsi="Arial"/>
          <w:color w:val="000000"/>
          <w:sz w:val="24"/>
          <w:szCs w:val="24"/>
          <w:rtl w:val="0"/>
        </w:rPr>
        <w:t xml:space="preserve">Paragraphs 7.1 to 7.5 above are without prejudice to an Exempt Buyer’s ability to make such further modifications to the Call-Off Procedure as it considers necessary and in accordance with any legal requirements applicable to that potential Exempt Buyer.</w:t>
      </w:r>
    </w:p>
    <w:p w:rsidR="00000000" w:rsidDel="00000000" w:rsidP="00000000" w:rsidRDefault="00000000" w:rsidRPr="00000000" w14:paraId="0000004C">
      <w:pPr>
        <w:jc w:val="both"/>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D">
      <w:pPr>
        <w:widowControl w:val="1"/>
        <w:pBdr>
          <w:top w:space="0" w:sz="0" w:val="nil"/>
          <w:left w:space="0" w:sz="0" w:val="nil"/>
          <w:bottom w:space="0" w:sz="0" w:val="nil"/>
          <w:right w:space="0" w:sz="0" w:val="nil"/>
          <w:between w:space="0" w:sz="0" w:val="nil"/>
        </w:pBdr>
        <w:tabs>
          <w:tab w:val="left" w:pos="3054"/>
        </w:tabs>
        <w:spacing w:after="120" w:before="120" w:lineRule="auto"/>
        <w:ind w:left="936" w:hanging="57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E">
      <w:pPr>
        <w:widowControl w:val="1"/>
        <w:pBdr>
          <w:top w:space="0" w:sz="0" w:val="nil"/>
          <w:left w:space="0" w:sz="0" w:val="nil"/>
          <w:bottom w:space="0" w:sz="0" w:val="nil"/>
          <w:right w:space="0" w:sz="0" w:val="nil"/>
          <w:between w:space="0" w:sz="0" w:val="nil"/>
        </w:pBdr>
        <w:tabs>
          <w:tab w:val="left" w:pos="3054"/>
        </w:tabs>
        <w:spacing w:after="120" w:before="120" w:lineRule="auto"/>
        <w:ind w:left="936" w:hanging="576"/>
        <w:rPr>
          <w:rFonts w:ascii="Arial" w:cs="Arial" w:eastAsia="Arial" w:hAnsi="Arial"/>
          <w:color w:val="000000"/>
          <w:sz w:val="36"/>
          <w:szCs w:val="36"/>
        </w:rPr>
      </w:pPr>
      <w:r w:rsidDel="00000000" w:rsidR="00000000" w:rsidRPr="00000000">
        <w:rPr>
          <w:rFonts w:ascii="Arial" w:cs="Arial" w:eastAsia="Arial" w:hAnsi="Arial"/>
          <w:b w:val="1"/>
          <w:color w:val="000000"/>
          <w:sz w:val="36"/>
          <w:szCs w:val="36"/>
          <w:rtl w:val="0"/>
        </w:rPr>
        <w:t xml:space="preserve">Part 2: Award Criteria</w:t>
      </w:r>
      <w:r w:rsidDel="00000000" w:rsidR="00000000" w:rsidRPr="00000000">
        <w:rPr>
          <w:rtl w:val="0"/>
        </w:rPr>
      </w:r>
    </w:p>
    <w:p w:rsidR="00000000" w:rsidDel="00000000" w:rsidP="00000000" w:rsidRDefault="00000000" w:rsidRPr="00000000" w14:paraId="0000004F">
      <w:pPr>
        <w:widowControl w:val="1"/>
        <w:numPr>
          <w:ilvl w:val="0"/>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Part 2 lays out award criteria for direct award (Annex A) and for further competition (Annex B) in accordance with the Call-Off Procedure.</w:t>
      </w:r>
    </w:p>
    <w:p w:rsidR="00000000" w:rsidDel="00000000" w:rsidP="00000000" w:rsidRDefault="00000000" w:rsidRPr="00000000" w14:paraId="00000050">
      <w:pPr>
        <w:widowControl w:val="1"/>
        <w:numPr>
          <w:ilvl w:val="0"/>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Call-Off Contract may be awarded on the basis </w:t>
      </w:r>
      <w:r w:rsidDel="00000000" w:rsidR="00000000" w:rsidRPr="00000000">
        <w:rPr>
          <w:rFonts w:ascii="Arial" w:cs="Arial" w:eastAsia="Arial" w:hAnsi="Arial"/>
          <w:color w:val="000000"/>
          <w:sz w:val="24"/>
          <w:szCs w:val="24"/>
          <w:rtl w:val="0"/>
        </w:rPr>
        <w:t xml:space="preserve">of most</w:t>
      </w:r>
      <w:r w:rsidDel="00000000" w:rsidR="00000000" w:rsidRPr="00000000">
        <w:rPr>
          <w:rFonts w:ascii="Arial" w:cs="Arial" w:eastAsia="Arial" w:hAnsi="Arial"/>
          <w:color w:val="000000"/>
          <w:sz w:val="24"/>
          <w:szCs w:val="24"/>
          <w:rtl w:val="0"/>
        </w:rPr>
        <w:t xml:space="preserve"> economically advantageous tender ("MEAT").</w:t>
      </w:r>
    </w:p>
    <w:p w:rsidR="00000000" w:rsidDel="00000000" w:rsidP="00000000" w:rsidRDefault="00000000" w:rsidRPr="00000000" w14:paraId="00000051">
      <w:pPr>
        <w:rPr>
          <w:rFonts w:ascii="Arial" w:cs="Arial" w:eastAsia="Arial" w:hAnsi="Arial"/>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2">
      <w:pPr>
        <w:keepNext w:val="1"/>
        <w:widowControl w:val="1"/>
        <w:pBdr>
          <w:top w:space="0" w:sz="0" w:val="nil"/>
          <w:left w:space="0" w:sz="0" w:val="nil"/>
          <w:bottom w:space="0" w:sz="0" w:val="nil"/>
          <w:right w:space="0" w:sz="0" w:val="nil"/>
          <w:between w:space="0" w:sz="0" w:val="nil"/>
        </w:pBdr>
        <w:spacing w:after="240" w:before="240" w:lineRule="auto"/>
        <w:ind w:firstLine="426"/>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Annex A: Direct award criteria</w:t>
      </w:r>
    </w:p>
    <w:p w:rsidR="00000000" w:rsidDel="00000000" w:rsidP="00000000" w:rsidRDefault="00000000" w:rsidRPr="00000000" w14:paraId="00000053">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for direct award of each Call-Off Contract.</w:t>
      </w:r>
      <w:r w:rsidDel="00000000" w:rsidR="00000000" w:rsidRPr="00000000">
        <w:rPr>
          <w:rtl w:val="0"/>
        </w:rPr>
      </w:r>
    </w:p>
    <w:tbl>
      <w:tblPr>
        <w:tblStyle w:val="Table1"/>
        <w:tblW w:w="9214.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44"/>
        <w:gridCol w:w="5670"/>
        <w:tblGridChange w:id="0">
          <w:tblGrid>
            <w:gridCol w:w="3544"/>
            <w:gridCol w:w="5670"/>
          </w:tblGrid>
        </w:tblGridChange>
      </w:tblGrid>
      <w:tr>
        <w:trPr>
          <w:cantSplit w:val="0"/>
          <w:tblHeader w:val="0"/>
        </w:trPr>
        <w:tc>
          <w:tcPr>
            <w:shd w:fill="e7e6e6" w:val="clear"/>
          </w:tcPr>
          <w:p w:rsidR="00000000" w:rsidDel="00000000" w:rsidP="00000000" w:rsidRDefault="00000000" w:rsidRPr="00000000" w14:paraId="00000054">
            <w:pPr>
              <w:keepNext w:val="1"/>
              <w:widowControl w:val="1"/>
              <w:spacing w:after="120" w:before="120" w:lineRule="auto"/>
              <w:ind w:left="142"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Criteria </w:t>
            </w:r>
          </w:p>
        </w:tc>
        <w:tc>
          <w:tcPr>
            <w:shd w:fill="e7e6e6" w:val="clear"/>
          </w:tcPr>
          <w:p w:rsidR="00000000" w:rsidDel="00000000" w:rsidP="00000000" w:rsidRDefault="00000000" w:rsidRPr="00000000" w14:paraId="00000055">
            <w:pPr>
              <w:widowControl w:val="1"/>
              <w:tabs>
                <w:tab w:val="left" w:pos="851"/>
              </w:tabs>
              <w:spacing w:after="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Rank order of importance where 1 = most important, 2 = second most important etc.</w:t>
            </w:r>
          </w:p>
        </w:tc>
      </w:tr>
      <w:tr>
        <w:trPr>
          <w:cantSplit w:val="0"/>
          <w:tblHeader w:val="0"/>
        </w:trPr>
        <w:tc>
          <w:tcPr/>
          <w:p w:rsidR="00000000" w:rsidDel="00000000" w:rsidP="00000000" w:rsidRDefault="00000000" w:rsidRPr="00000000" w14:paraId="00000056">
            <w:pPr>
              <w:keepNext w:val="1"/>
              <w:widowControl w:val="1"/>
              <w:spacing w:after="120" w:befor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Price (life cycle costs, cost effectiveness &amp; price; price and running costs)</w:t>
            </w:r>
          </w:p>
        </w:tc>
        <w:tc>
          <w:tcPr/>
          <w:p w:rsidR="00000000" w:rsidDel="00000000" w:rsidP="00000000" w:rsidRDefault="00000000" w:rsidRPr="00000000" w14:paraId="00000057">
            <w:pPr>
              <w:keepNext w:val="1"/>
              <w:widowControl w:val="1"/>
              <w:spacing w:after="120" w:befor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w:t>
            </w:r>
          </w:p>
        </w:tc>
      </w:tr>
      <w:tr>
        <w:trPr>
          <w:cantSplit w:val="0"/>
          <w:tblHeader w:val="0"/>
        </w:trPr>
        <w:tc>
          <w:tcPr/>
          <w:p w:rsidR="00000000" w:rsidDel="00000000" w:rsidP="00000000" w:rsidRDefault="00000000" w:rsidRPr="00000000" w14:paraId="00000058">
            <w:pPr>
              <w:keepNext w:val="1"/>
              <w:widowControl w:val="1"/>
              <w:spacing w:after="120" w:befor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Quality (including delivery time, sales service, good value, accessories, service fitness for purpose)</w:t>
            </w:r>
          </w:p>
        </w:tc>
        <w:tc>
          <w:tcPr/>
          <w:p w:rsidR="00000000" w:rsidDel="00000000" w:rsidP="00000000" w:rsidRDefault="00000000" w:rsidRPr="00000000" w14:paraId="00000059">
            <w:pPr>
              <w:keepNext w:val="1"/>
              <w:widowControl w:val="1"/>
              <w:spacing w:after="120" w:befor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w:t>
            </w:r>
          </w:p>
        </w:tc>
      </w:tr>
    </w:tbl>
    <w:p w:rsidR="00000000" w:rsidDel="00000000" w:rsidP="00000000" w:rsidRDefault="00000000" w:rsidRPr="00000000" w14:paraId="0000005A">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B">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C">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D">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E">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F">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0">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3">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4">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5">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6">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A">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B">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Annex B: Further Competition Award Criteria</w:t>
      </w:r>
    </w:p>
    <w:p w:rsidR="00000000" w:rsidDel="00000000" w:rsidP="00000000" w:rsidRDefault="00000000" w:rsidRPr="00000000" w14:paraId="0000006C">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of tenders received through the Further Competition Procedure:</w:t>
      </w:r>
    </w:p>
    <w:tbl>
      <w:tblPr>
        <w:tblStyle w:val="Table2"/>
        <w:tblW w:w="847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71"/>
        <w:gridCol w:w="4154"/>
        <w:gridCol w:w="3051"/>
        <w:tblGridChange w:id="0">
          <w:tblGrid>
            <w:gridCol w:w="1271"/>
            <w:gridCol w:w="4154"/>
            <w:gridCol w:w="3051"/>
          </w:tblGrid>
        </w:tblGridChange>
      </w:tblGrid>
      <w:tr>
        <w:trPr>
          <w:cantSplit w:val="0"/>
          <w:tblHeader w:val="0"/>
        </w:trPr>
        <w:tc>
          <w:tcPr>
            <w:shd w:fill="e7e6e6" w:val="clear"/>
          </w:tcPr>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tabs>
                <w:tab w:val="left" w:pos="851"/>
              </w:tabs>
              <w:spacing w:after="120" w:before="120" w:lineRule="auto"/>
              <w:jc w:val="both"/>
              <w:rPr>
                <w:rFonts w:ascii="Arial" w:cs="Arial" w:eastAsia="Arial" w:hAnsi="Arial"/>
                <w:color w:val="000000"/>
              </w:rPr>
            </w:pPr>
            <w:r w:rsidDel="00000000" w:rsidR="00000000" w:rsidRPr="00000000">
              <w:rPr>
                <w:rFonts w:ascii="Arial" w:cs="Arial" w:eastAsia="Arial" w:hAnsi="Arial"/>
                <w:b w:val="1"/>
                <w:color w:val="000000"/>
                <w:rtl w:val="0"/>
              </w:rPr>
              <w:t xml:space="preserve">Criteria</w:t>
            </w:r>
            <w:r w:rsidDel="00000000" w:rsidR="00000000" w:rsidRPr="00000000">
              <w:rPr>
                <w:rtl w:val="0"/>
              </w:rPr>
            </w:r>
          </w:p>
        </w:tc>
        <w:tc>
          <w:tcPr>
            <w:shd w:fill="e7e6e6" w:val="clear"/>
          </w:tcPr>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tabs>
                <w:tab w:val="left" w:pos="851"/>
              </w:tabs>
              <w:spacing w:after="120" w:before="120" w:lineRule="auto"/>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Percentage Weightings (or rank order of importance where applicable) - to be set by the Customer conducting the Further Competition Procedure</w:t>
            </w:r>
          </w:p>
        </w:tc>
        <w:tc>
          <w:tcPr>
            <w:shd w:fill="e7e6e6" w:val="clear"/>
          </w:tcPr>
          <w:p w:rsidR="00000000" w:rsidDel="00000000" w:rsidP="00000000" w:rsidRDefault="00000000" w:rsidRPr="00000000" w14:paraId="0000006F">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Allowable Variance </w:t>
            </w:r>
          </w:p>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rPr>
            </w:pPr>
            <w:r w:rsidDel="00000000" w:rsidR="00000000" w:rsidRPr="00000000">
              <w:rPr>
                <w:rFonts w:ascii="Arial" w:cs="Arial" w:eastAsia="Arial" w:hAnsi="Arial"/>
                <w:b w:val="1"/>
                <w:color w:val="000000"/>
                <w:rtl w:val="0"/>
              </w:rPr>
              <w:t xml:space="preserve">(This may be modified by the Customer within the range below)</w:t>
            </w:r>
            <w:r w:rsidDel="00000000" w:rsidR="00000000" w:rsidRPr="00000000">
              <w:rPr>
                <w:color w:val="000000"/>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Quality </w:t>
            </w:r>
          </w:p>
        </w:tc>
        <w:tc>
          <w:tcPr/>
          <w:p w:rsidR="00000000" w:rsidDel="00000000" w:rsidP="00000000" w:rsidRDefault="00000000" w:rsidRPr="00000000" w14:paraId="00000072">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50%</w:t>
            </w:r>
          </w:p>
        </w:tc>
        <w:tc>
          <w:tcPr/>
          <w:p w:rsidR="00000000" w:rsidDel="00000000" w:rsidP="00000000" w:rsidRDefault="00000000" w:rsidRPr="00000000" w14:paraId="00000073">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+ 40% (50% to 90%) </w:t>
            </w:r>
          </w:p>
        </w:tc>
      </w:tr>
      <w:tr>
        <w:trPr>
          <w:cantSplit w:val="0"/>
          <w:tblHeader w:val="0"/>
        </w:trPr>
        <w:tc>
          <w:tcPr/>
          <w:p w:rsidR="00000000" w:rsidDel="00000000" w:rsidP="00000000" w:rsidRDefault="00000000" w:rsidRPr="00000000" w14:paraId="00000074">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Price </w:t>
            </w:r>
          </w:p>
        </w:tc>
        <w:tc>
          <w:tcPr/>
          <w:p w:rsidR="00000000" w:rsidDel="00000000" w:rsidP="00000000" w:rsidRDefault="00000000" w:rsidRPr="00000000" w14:paraId="00000075">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50%</w:t>
            </w:r>
          </w:p>
        </w:tc>
        <w:tc>
          <w:tcPr/>
          <w:p w:rsidR="00000000" w:rsidDel="00000000" w:rsidP="00000000" w:rsidRDefault="00000000" w:rsidRPr="00000000" w14:paraId="00000076">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- 40% (10% to 50%) </w:t>
            </w:r>
          </w:p>
        </w:tc>
      </w:tr>
    </w:tbl>
    <w:p w:rsidR="00000000" w:rsidDel="00000000" w:rsidP="00000000" w:rsidRDefault="00000000" w:rsidRPr="00000000" w14:paraId="00000077">
      <w:pPr>
        <w:widowControl w:val="1"/>
        <w:tabs>
          <w:tab w:val="left" w:pos="851"/>
        </w:tabs>
        <w:spacing w:after="240" w:lineRule="auto"/>
        <w:jc w:val="both"/>
        <w:rPr>
          <w:rFonts w:ascii="Arial" w:cs="Arial" w:eastAsia="Arial" w:hAnsi="Arial"/>
          <w:sz w:val="24"/>
          <w:szCs w:val="24"/>
        </w:rPr>
      </w:pPr>
      <w:bookmarkStart w:colFirst="0" w:colLast="0" w:name="_heading=h.gjdgxs" w:id="9"/>
      <w:bookmarkEnd w:id="9"/>
      <w:r w:rsidDel="00000000" w:rsidR="00000000" w:rsidRPr="00000000">
        <w:rPr>
          <w:rtl w:val="0"/>
        </w:rPr>
      </w:r>
    </w:p>
    <w:tbl>
      <w:tblPr>
        <w:tblStyle w:val="Table3"/>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08"/>
        <w:gridCol w:w="4508"/>
        <w:tblGridChange w:id="0">
          <w:tblGrid>
            <w:gridCol w:w="4508"/>
            <w:gridCol w:w="4508"/>
          </w:tblGrid>
        </w:tblGridChange>
      </w:tblGrid>
      <w:tr>
        <w:trPr>
          <w:cantSplit w:val="0"/>
          <w:tblHeader w:val="0"/>
        </w:trPr>
        <w:tc>
          <w:tcPr>
            <w:shd w:fill="e7e6e6" w:val="clear"/>
          </w:tcPr>
          <w:p w:rsidR="00000000" w:rsidDel="00000000" w:rsidP="00000000" w:rsidRDefault="00000000" w:rsidRPr="00000000" w14:paraId="00000078">
            <w:pPr>
              <w:widowControl w:val="1"/>
              <w:tabs>
                <w:tab w:val="left" w:pos="851"/>
              </w:tabs>
              <w:spacing w:after="120" w:before="12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Criteria</w:t>
            </w:r>
            <w:r w:rsidDel="00000000" w:rsidR="00000000" w:rsidRPr="00000000">
              <w:rPr>
                <w:rtl w:val="0"/>
              </w:rPr>
            </w:r>
          </w:p>
        </w:tc>
        <w:tc>
          <w:tcPr>
            <w:shd w:fill="e7e6e6" w:val="clear"/>
          </w:tcPr>
          <w:p w:rsidR="00000000" w:rsidDel="00000000" w:rsidP="00000000" w:rsidRDefault="00000000" w:rsidRPr="00000000" w14:paraId="00000079">
            <w:pPr>
              <w:widowControl w:val="1"/>
              <w:tabs>
                <w:tab w:val="left" w:pos="851"/>
              </w:tabs>
              <w:spacing w:after="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Rank order of importance where 1 = most important, 2 = second most important etc.</w:t>
            </w:r>
          </w:p>
        </w:tc>
      </w:tr>
      <w:tr>
        <w:trPr>
          <w:cantSplit w:val="0"/>
          <w:tblHeader w:val="0"/>
        </w:trPr>
        <w:tc>
          <w:tcPr/>
          <w:p w:rsidR="00000000" w:rsidDel="00000000" w:rsidP="00000000" w:rsidRDefault="00000000" w:rsidRPr="00000000" w14:paraId="0000007A">
            <w:pPr>
              <w:widowControl w:val="1"/>
              <w:shd w:fill="ffffff" w:val="clear"/>
              <w:tabs>
                <w:tab w:val="left" w:pos="851"/>
              </w:tabs>
              <w:spacing w:after="120" w:before="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Security requirements beyond those set out in Call-Off Schedule 9A (Security) or Call-Off Schedule 9B (MOD Security) (as applicable)</w:t>
            </w:r>
          </w:p>
        </w:tc>
        <w:tc>
          <w:tcPr/>
          <w:p w:rsidR="00000000" w:rsidDel="00000000" w:rsidP="00000000" w:rsidRDefault="00000000" w:rsidRPr="00000000" w14:paraId="0000007B">
            <w:pPr>
              <w:widowControl w:val="1"/>
              <w:shd w:fill="ffffff" w:val="clear"/>
              <w:tabs>
                <w:tab w:val="left" w:pos="851"/>
              </w:tabs>
              <w:spacing w:after="120" w:before="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w:t>
            </w:r>
          </w:p>
        </w:tc>
      </w:tr>
      <w:tr>
        <w:trPr>
          <w:cantSplit w:val="0"/>
          <w:tblHeader w:val="0"/>
        </w:trPr>
        <w:tc>
          <w:tcPr/>
          <w:p w:rsidR="00000000" w:rsidDel="00000000" w:rsidP="00000000" w:rsidRDefault="00000000" w:rsidRPr="00000000" w14:paraId="0000007C">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Additional Service Levels</w:t>
            </w:r>
          </w:p>
        </w:tc>
        <w:tc>
          <w:tcPr/>
          <w:p w:rsidR="00000000" w:rsidDel="00000000" w:rsidP="00000000" w:rsidRDefault="00000000" w:rsidRPr="00000000" w14:paraId="0000007D">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w:t>
            </w:r>
          </w:p>
        </w:tc>
      </w:tr>
      <w:tr>
        <w:trPr>
          <w:cantSplit w:val="0"/>
          <w:tblHeader w:val="0"/>
        </w:trPr>
        <w:tc>
          <w:tcPr/>
          <w:p w:rsidR="00000000" w:rsidDel="00000000" w:rsidP="00000000" w:rsidRDefault="00000000" w:rsidRPr="00000000" w14:paraId="0000007E">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Rail ticket printers</w:t>
            </w:r>
          </w:p>
        </w:tc>
        <w:tc>
          <w:tcPr/>
          <w:p w:rsidR="00000000" w:rsidDel="00000000" w:rsidP="00000000" w:rsidRDefault="00000000" w:rsidRPr="00000000" w14:paraId="0000007F">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w:t>
            </w:r>
          </w:p>
        </w:tc>
      </w:tr>
      <w:tr>
        <w:trPr>
          <w:cantSplit w:val="0"/>
          <w:tblHeader w:val="0"/>
        </w:trPr>
        <w:tc>
          <w:tcPr/>
          <w:p w:rsidR="00000000" w:rsidDel="00000000" w:rsidP="00000000" w:rsidRDefault="00000000" w:rsidRPr="00000000" w14:paraId="00000080">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Supplier Implants (Supplier’s staff working from Buyer’s offices, working exclusively for them)</w:t>
            </w:r>
          </w:p>
        </w:tc>
        <w:tc>
          <w:tcPr/>
          <w:p w:rsidR="00000000" w:rsidDel="00000000" w:rsidP="00000000" w:rsidRDefault="00000000" w:rsidRPr="00000000" w14:paraId="00000081">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w:t>
            </w:r>
          </w:p>
        </w:tc>
      </w:tr>
    </w:tbl>
    <w:p w:rsidR="00000000" w:rsidDel="00000000" w:rsidP="00000000" w:rsidRDefault="00000000" w:rsidRPr="00000000" w14:paraId="00000082">
      <w:pPr>
        <w:widowControl w:val="1"/>
        <w:tabs>
          <w:tab w:val="left" w:pos="851"/>
        </w:tabs>
        <w:spacing w:after="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3">
      <w:pPr>
        <w:widowControl w:val="1"/>
        <w:pBdr>
          <w:top w:space="0" w:sz="0" w:val="nil"/>
          <w:left w:space="0" w:sz="0" w:val="nil"/>
          <w:bottom w:space="0" w:sz="0" w:val="nil"/>
          <w:right w:space="0" w:sz="0" w:val="nil"/>
          <w:between w:space="0" w:sz="0" w:val="nil"/>
        </w:pBdr>
        <w:jc w:val="both"/>
        <w:rPr>
          <w:rFonts w:ascii="Arial" w:cs="Arial" w:eastAsia="Arial" w:hAnsi="Arial"/>
          <w:color w:val="ffffff"/>
          <w:sz w:val="24"/>
          <w:szCs w:val="24"/>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alibri Light"/>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9">
    <w:pPr>
      <w:widowControl w:val="1"/>
      <w:pBdr>
        <w:top w:space="0" w:sz="0" w:val="nil"/>
        <w:left w:space="0" w:sz="0" w:val="nil"/>
        <w:bottom w:space="0" w:sz="0" w:val="nil"/>
        <w:right w:space="0" w:sz="0" w:val="nil"/>
        <w:between w:space="0" w:sz="0" w:val="nil"/>
      </w:pBdr>
      <w:tabs>
        <w:tab w:val="center" w:pos="4513"/>
        <w:tab w:val="right" w:pos="9026"/>
      </w:tabs>
      <w:jc w:val="both"/>
      <w:rPr>
        <w:color w:val="000000"/>
      </w:rPr>
    </w:pPr>
    <w:r w:rsidDel="00000000" w:rsidR="00000000" w:rsidRPr="00000000">
      <w:rPr>
        <w:rtl w:val="0"/>
      </w:rPr>
    </w:r>
  </w:p>
  <w:p w:rsidR="00000000" w:rsidDel="00000000" w:rsidP="00000000" w:rsidRDefault="00000000" w:rsidRPr="00000000" w14:paraId="0000008A">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r>
  </w:p>
  <w:p w:rsidR="00000000" w:rsidDel="00000000" w:rsidP="00000000" w:rsidRDefault="00000000" w:rsidRPr="00000000" w14:paraId="0000008B">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C">
    <w:pPr>
      <w:tabs>
        <w:tab w:val="left" w:pos="720"/>
        <w:tab w:val="left" w:pos="1440"/>
        <w:tab w:val="left" w:pos="2160"/>
        <w:tab w:val="left" w:pos="2880"/>
        <w:tab w:val="left" w:pos="3600"/>
        <w:tab w:val="center"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D">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RM6217</w:t>
      <w:tab/>
      <w:t xml:space="preserve">                                           </w:t>
    </w:r>
  </w:p>
  <w:p w:rsidR="00000000" w:rsidDel="00000000" w:rsidP="00000000" w:rsidRDefault="00000000" w:rsidRPr="00000000" w14:paraId="0000008E">
    <w:pPr>
      <w:widowControl w:val="1"/>
      <w:pBdr>
        <w:top w:space="0" w:sz="0" w:val="nil"/>
        <w:left w:space="0" w:sz="0" w:val="nil"/>
        <w:bottom w:space="0" w:sz="0" w:val="nil"/>
        <w:right w:space="0" w:sz="0" w:val="nil"/>
        <w:between w:space="0" w:sz="0" w:val="nil"/>
      </w:pBdr>
      <w:tabs>
        <w:tab w:val="center" w:pos="4513"/>
        <w:tab w:val="right" w:pos="9026"/>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tabs>
        <w:tab w:val="left" w:pos="720"/>
        <w:tab w:val="left" w:pos="1440"/>
        <w:tab w:val="left" w:pos="2160"/>
        <w:tab w:val="left" w:pos="2880"/>
        <w:tab w:val="left" w:pos="3600"/>
        <w:tab w:val="center"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v3.2</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4">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Framework Schedule 7 (Call-Off Award Procedure)</w:t>
    </w:r>
  </w:p>
  <w:p w:rsidR="00000000" w:rsidDel="00000000" w:rsidP="00000000" w:rsidRDefault="00000000" w:rsidRPr="00000000" w14:paraId="00000085">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p w:rsidR="00000000" w:rsidDel="00000000" w:rsidP="00000000" w:rsidRDefault="00000000" w:rsidRPr="00000000" w14:paraId="00000086">
    <w:pPr>
      <w:widowControl w:val="1"/>
      <w:pBdr>
        <w:top w:space="0" w:sz="0" w:val="nil"/>
        <w:left w:space="0" w:sz="0" w:val="nil"/>
        <w:bottom w:space="0" w:sz="0" w:val="nil"/>
        <w:right w:space="0" w:sz="0" w:val="nil"/>
        <w:between w:space="0" w:sz="0" w:val="nil"/>
      </w:pBdr>
      <w:tabs>
        <w:tab w:val="center" w:pos="4513"/>
        <w:tab w:val="right" w:pos="9026"/>
      </w:tabs>
      <w:jc w:val="both"/>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7">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7 (Call-Off Award Procedure)</w:t>
    </w:r>
  </w:p>
  <w:p w:rsidR="00000000" w:rsidDel="00000000" w:rsidP="00000000" w:rsidRDefault="00000000" w:rsidRPr="00000000" w14:paraId="00000088">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rPr/>
    </w:lvl>
    <w:lvl w:ilvl="7">
      <w:start w:val="1"/>
      <w:numFmt w:val="decimal"/>
      <w:lvlText w:val="%1.%2.%3.%4.%5.%6.%7.%8"/>
      <w:lvlJc w:val="left"/>
      <w:pPr>
        <w:ind w:left="2520" w:hanging="1440"/>
      </w:pPr>
      <w:rPr/>
    </w:lvl>
    <w:lvl w:ilvl="8">
      <w:start w:val="1"/>
      <w:numFmt w:val="decimal"/>
      <w:lvlText w:val="%1.%2.%3.%4.%5.%6.%7.%8.%9"/>
      <w:lvlJc w:val="left"/>
      <w:pPr>
        <w:ind w:left="2880" w:hanging="1800"/>
      </w:pPr>
      <w:rPr/>
    </w:lvl>
  </w:abstractNum>
  <w:abstractNum w:abstractNumId="3">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360" w:hanging="360"/>
      </w:pPr>
      <w:rPr>
        <w:rFonts w:ascii="Arial Bold" w:cs="Arial Bold" w:eastAsia="Arial Bold" w:hAnsi="Arial Bold"/>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5">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Light" w:cs="Calibri Light" w:eastAsia="Calibri Light" w:hAnsi="Calibri Light"/>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32FDD"/>
    <w:pPr>
      <w:keepNext w:val="1"/>
      <w:keepLines w:val="1"/>
      <w:spacing w:before="240"/>
      <w:outlineLvl w:val="0"/>
    </w:pPr>
    <w:rPr>
      <w:rFonts w:asciiTheme="majorHAnsi" w:cstheme="majorBidi" w:eastAsiaTheme="majorEastAsia" w:hAnsiTheme="majorHAnsi"/>
      <w:color w:val="2f5496" w:themeColor="accent1" w:themeShade="0000BF"/>
      <w:sz w:val="32"/>
      <w:szCs w:val="32"/>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tandard" w:customStyle="1">
    <w:name w:val="Standard"/>
    <w:pPr>
      <w:widowControl w:val="1"/>
      <w:spacing w:after="240"/>
      <w:jc w:val="both"/>
    </w:pPr>
    <w:rPr>
      <w:rFonts w:cs="Arial" w:eastAsia="Times New Roman"/>
    </w:rPr>
  </w:style>
  <w:style w:type="paragraph" w:styleId="Heading" w:customStyle="1">
    <w:name w:val="Heading"/>
    <w:basedOn w:val="Standard"/>
    <w:next w:val="Textbody"/>
    <w:pPr>
      <w:keepNext w:val="1"/>
      <w:spacing w:after="120" w:before="240"/>
    </w:pPr>
    <w:rPr>
      <w:rFonts w:ascii="Liberation Sans" w:cs="Arial Unicode MS" w:eastAsia="Arial Unicode MS" w:hAnsi="Liberation Sans"/>
      <w:sz w:val="28"/>
      <w:szCs w:val="28"/>
    </w:rPr>
  </w:style>
  <w:style w:type="paragraph" w:styleId="Textbody" w:customStyle="1">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val="1"/>
      <w:spacing w:after="120" w:before="120"/>
    </w:pPr>
    <w:rPr>
      <w:i w:val="1"/>
      <w:iCs w:val="1"/>
      <w:sz w:val="24"/>
      <w:szCs w:val="24"/>
    </w:rPr>
  </w:style>
  <w:style w:type="paragraph" w:styleId="Index" w:customStyle="1">
    <w:name w:val="Index"/>
    <w:basedOn w:val="Standard"/>
    <w:pPr>
      <w:suppressLineNumbers w:val="1"/>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styleId="MarginText" w:customStyle="1">
    <w:name w:val="Margin Text"/>
    <w:basedOn w:val="Standard"/>
    <w:pPr>
      <w:keepNext w:val="1"/>
      <w:overflowPunct w:val="0"/>
      <w:spacing w:after="120" w:before="240"/>
      <w:ind w:left="142"/>
    </w:pPr>
    <w:rPr>
      <w:rFonts w:cs="Times New Roman" w:eastAsia="STZhongsong"/>
      <w:szCs w:val="18"/>
      <w:lang w:eastAsia="zh-CN"/>
    </w:rPr>
  </w:style>
  <w:style w:type="paragraph" w:styleId="GPSL1CLAUSEHEADING" w:customStyle="1">
    <w:name w:val="GPS L1 CLAUSE HEADING"/>
    <w:basedOn w:val="Standard"/>
    <w:next w:val="Standard"/>
    <w:pPr>
      <w:tabs>
        <w:tab w:val="left" w:pos="142"/>
      </w:tabs>
      <w:overflowPunct w:val="0"/>
      <w:spacing w:before="120"/>
      <w:outlineLvl w:val="1"/>
    </w:pPr>
    <w:rPr>
      <w:rFonts w:eastAsia="STZhongsong"/>
      <w:b w:val="1"/>
      <w:caps w:val="1"/>
      <w:lang w:eastAsia="zh-CN"/>
    </w:rPr>
  </w:style>
  <w:style w:type="paragraph" w:styleId="GPSL3numberedclause" w:customStyle="1">
    <w:name w:val="GPS L3 numbered clause"/>
    <w:basedOn w:val="Standard"/>
    <w:pPr>
      <w:tabs>
        <w:tab w:val="left" w:pos="3641"/>
      </w:tabs>
      <w:overflowPunct w:val="0"/>
      <w:spacing w:after="120" w:before="120"/>
      <w:ind w:left="1656"/>
    </w:pPr>
    <w:rPr>
      <w:lang w:eastAsia="zh-CN"/>
    </w:rPr>
  </w:style>
  <w:style w:type="paragraph" w:styleId="GPSL4numberedclause" w:customStyle="1">
    <w:name w:val="GPS L4 numbered clause"/>
    <w:basedOn w:val="GPSL3numberedclause"/>
    <w:pPr>
      <w:tabs>
        <w:tab w:val="clear" w:pos="3641"/>
      </w:tabs>
      <w:ind w:left="2592" w:hanging="936"/>
    </w:pPr>
  </w:style>
  <w:style w:type="paragraph" w:styleId="GPSL5numberedclause" w:customStyle="1">
    <w:name w:val="GPS L5 numbered clause"/>
    <w:basedOn w:val="GPSL4numberedclause"/>
    <w:pPr>
      <w:tabs>
        <w:tab w:val="left" w:pos="6238"/>
      </w:tabs>
      <w:ind w:left="3119" w:hanging="567"/>
    </w:pPr>
  </w:style>
  <w:style w:type="paragraph" w:styleId="GPSL2NumberedBoldHeading" w:customStyle="1">
    <w:name w:val="GPS L2 Numbered Bold Heading"/>
    <w:basedOn w:val="Standard"/>
    <w:pPr>
      <w:tabs>
        <w:tab w:val="left" w:pos="3054"/>
      </w:tabs>
      <w:overflowPunct w:val="0"/>
      <w:spacing w:after="120" w:before="120"/>
      <w:ind w:left="1920"/>
    </w:pPr>
    <w:rPr>
      <w:b w:val="1"/>
      <w:lang w:eastAsia="zh-CN"/>
    </w:rPr>
  </w:style>
  <w:style w:type="paragraph" w:styleId="GPSL6numbered" w:customStyle="1">
    <w:name w:val="GPS L6 numbered"/>
    <w:basedOn w:val="GPSL5numberedclause"/>
    <w:pPr>
      <w:tabs>
        <w:tab w:val="clear" w:pos="6238"/>
        <w:tab w:val="left" w:pos="4046"/>
        <w:tab w:val="left" w:pos="7372"/>
      </w:tabs>
      <w:ind w:left="3686"/>
    </w:pPr>
  </w:style>
  <w:style w:type="paragraph" w:styleId="GPSL1Guidance" w:customStyle="1">
    <w:name w:val="GPS L1 Guidance"/>
    <w:basedOn w:val="Standard"/>
    <w:pPr>
      <w:spacing w:after="120" w:before="240"/>
      <w:ind w:left="426"/>
    </w:pPr>
    <w:rPr>
      <w:b w:val="1"/>
      <w:i w:val="1"/>
    </w:rPr>
  </w:style>
  <w:style w:type="paragraph" w:styleId="GPSL1SCHEDULEHeading" w:customStyle="1">
    <w:name w:val="GPS L1 SCHEDULE Heading"/>
    <w:basedOn w:val="GPSL1CLAUSEHEADING"/>
    <w:pPr>
      <w:tabs>
        <w:tab w:val="clear" w:pos="142"/>
      </w:tabs>
    </w:pPr>
  </w:style>
  <w:style w:type="paragraph" w:styleId="GPSmacrorestart" w:customStyle="1">
    <w:name w:val="GPS macro restart"/>
    <w:basedOn w:val="Standard"/>
    <w:qFormat w:val="1"/>
    <w:pPr>
      <w:spacing w:after="0"/>
    </w:pPr>
    <w:rPr>
      <w:color w:val="ffffff"/>
      <w:sz w:val="16"/>
      <w:szCs w:val="16"/>
    </w:rPr>
  </w:style>
  <w:style w:type="paragraph" w:styleId="GPSSchTitleandNumber" w:customStyle="1">
    <w:name w:val="GPS Sch Title and Number"/>
    <w:basedOn w:val="Standard"/>
    <w:pPr>
      <w:keepNext w:val="1"/>
      <w:overflowPunct w:val="0"/>
      <w:ind w:firstLine="426"/>
      <w:jc w:val="center"/>
      <w:outlineLvl w:val="0"/>
    </w:pPr>
    <w:rPr>
      <w:rFonts w:ascii="Arial Bold" w:cs="Times New Roman" w:eastAsia="STZhongsong" w:hAnsi="Arial Bold"/>
      <w:b w:val="1"/>
      <w:caps w:val="1"/>
      <w:lang w:eastAsia="zh-CN"/>
    </w:rPr>
  </w:style>
  <w:style w:type="paragraph" w:styleId="GPSSchPart" w:customStyle="1">
    <w:name w:val="GPS Sch Part"/>
    <w:basedOn w:val="Standard"/>
    <w:qFormat w:val="1"/>
    <w:pPr>
      <w:keepNext w:val="1"/>
      <w:overflowPunct w:val="0"/>
      <w:spacing w:before="240"/>
      <w:ind w:firstLine="426"/>
      <w:jc w:val="center"/>
    </w:pPr>
    <w:rPr>
      <w:rFonts w:ascii="Arial Bold" w:cs="Times New Roman" w:eastAsia="STZhongsong" w:hAnsi="Arial Bold"/>
      <w:b w:val="1"/>
      <w:caps w:val="1"/>
      <w:lang w:eastAsia="zh-CN"/>
    </w:rPr>
  </w:style>
  <w:style w:type="paragraph" w:styleId="GPSL2Numbered" w:customStyle="1">
    <w:name w:val="GPS L2 Numbered"/>
    <w:basedOn w:val="GPSL2NumberedBoldHeading"/>
    <w:pPr>
      <w:tabs>
        <w:tab w:val="clear" w:pos="3054"/>
      </w:tabs>
      <w:ind w:left="936" w:hanging="576"/>
    </w:pPr>
    <w:rPr>
      <w:b w:val="0"/>
    </w:rPr>
  </w:style>
  <w:style w:type="paragraph" w:styleId="GPSL1Schedulenumbered" w:customStyle="1">
    <w:name w:val="GPS L1 Schedule numbered"/>
    <w:basedOn w:val="Standard"/>
    <w:qFormat w:val="1"/>
    <w:pPr>
      <w:tabs>
        <w:tab w:val="left" w:pos="851"/>
      </w:tabs>
    </w:pPr>
  </w:style>
  <w:style w:type="paragraph" w:styleId="BalloonText">
    <w:name w:val="Balloon Text"/>
    <w:basedOn w:val="Standard"/>
    <w:pPr>
      <w:spacing w:after="0"/>
    </w:pPr>
    <w:rPr>
      <w:rFonts w:ascii="Tahoma" w:cs="Tahoma" w:eastAsia="Tahoma" w:hAnsi="Tahoma"/>
      <w:sz w:val="16"/>
      <w:szCs w:val="16"/>
    </w:rPr>
  </w:style>
  <w:style w:type="paragraph" w:styleId="GPSL2Guidance" w:customStyle="1">
    <w:name w:val="GPS L2 Guidance"/>
    <w:basedOn w:val="Standard"/>
    <w:pPr>
      <w:tabs>
        <w:tab w:val="left" w:pos="2268"/>
      </w:tabs>
      <w:overflowPunct w:val="0"/>
      <w:spacing w:after="120" w:before="120"/>
      <w:ind w:left="1134"/>
    </w:pPr>
    <w:rPr>
      <w:b w:val="1"/>
      <w:i w:val="1"/>
      <w:lang w:eastAsia="zh-CN"/>
    </w:rPr>
  </w:style>
  <w:style w:type="paragraph" w:styleId="GPSL2Indent" w:customStyle="1">
    <w:name w:val="GPS L2 Indent"/>
    <w:basedOn w:val="Standard"/>
    <w:pPr>
      <w:tabs>
        <w:tab w:val="left" w:pos="4536"/>
      </w:tabs>
      <w:spacing w:after="220"/>
      <w:ind w:left="1134"/>
    </w:pPr>
    <w:rPr>
      <w:szCs w:val="24"/>
    </w:rPr>
  </w:style>
  <w:style w:type="paragraph" w:styleId="GPSL4Guidance" w:customStyle="1">
    <w:name w:val="GPS L4 Guidance"/>
    <w:basedOn w:val="Standard"/>
    <w:pPr>
      <w:tabs>
        <w:tab w:val="left" w:pos="3970"/>
      </w:tabs>
      <w:overflowPunct w:val="0"/>
      <w:spacing w:after="120" w:before="120"/>
      <w:ind w:left="1985"/>
    </w:pPr>
    <w:rPr>
      <w:b w:val="1"/>
      <w:i w:val="1"/>
      <w:lang w:eastAsia="zh-CN"/>
    </w:rPr>
  </w:style>
  <w:style w:type="paragraph" w:styleId="GPSL2non-numberboldheading" w:customStyle="1">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val="1"/>
      <w:bCs w:val="1"/>
    </w:rPr>
  </w:style>
  <w:style w:type="character" w:styleId="HeaderChar" w:customStyle="1">
    <w:name w:val="Header Char"/>
    <w:basedOn w:val="DefaultParagraphFont"/>
  </w:style>
  <w:style w:type="character" w:styleId="FooterChar" w:customStyle="1">
    <w:name w:val="Footer Char"/>
    <w:basedOn w:val="DefaultParagraphFont"/>
    <w:uiPriority w:val="99"/>
  </w:style>
  <w:style w:type="character" w:styleId="Emphasis">
    <w:name w:val="Emphasis"/>
    <w:basedOn w:val="DefaultParagraphFont"/>
    <w:rPr>
      <w:i w:val="1"/>
      <w:iCs w:val="1"/>
    </w:rPr>
  </w:style>
  <w:style w:type="character" w:styleId="MarginTextChar" w:customStyle="1">
    <w:name w:val="Margin Text Char"/>
    <w:rPr>
      <w:rFonts w:ascii="Calibri" w:cs="Times New Roman" w:eastAsia="STZhongsong" w:hAnsi="Calibri"/>
      <w:szCs w:val="18"/>
      <w:lang w:eastAsia="zh-CN"/>
    </w:rPr>
  </w:style>
  <w:style w:type="character" w:styleId="GPSL2NumberedChar" w:customStyle="1">
    <w:name w:val="GPS L2 Numbered Char"/>
    <w:rPr>
      <w:rFonts w:ascii="Calibri" w:cs="Arial" w:eastAsia="Times New Roman" w:hAnsi="Calibri"/>
      <w:lang w:eastAsia="zh-CN"/>
    </w:rPr>
  </w:style>
  <w:style w:type="character" w:styleId="GPSL1SCHEDULEHeadingChar" w:customStyle="1">
    <w:name w:val="GPS L1 SCHEDULE Heading Char"/>
    <w:rPr>
      <w:rFonts w:ascii="Calibri" w:cs="Arial" w:eastAsia="STZhongsong" w:hAnsi="Calibri"/>
      <w:b w:val="1"/>
      <w:caps w:val="1"/>
      <w:lang w:eastAsia="zh-CN"/>
    </w:rPr>
  </w:style>
  <w:style w:type="character" w:styleId="GPSL1SchedulenumberedChar1" w:customStyle="1">
    <w:name w:val="GPS L1 Schedule numbered Char1"/>
    <w:rPr>
      <w:rFonts w:ascii="Calibri" w:cs="Arial" w:eastAsia="Times New Roman" w:hAnsi="Calibri"/>
    </w:rPr>
  </w:style>
  <w:style w:type="character" w:styleId="GPSL1GuidanceChar" w:customStyle="1">
    <w:name w:val="GPS L1 Guidance Char"/>
    <w:rPr>
      <w:rFonts w:ascii="Calibri" w:cs="Arial" w:eastAsia="Times New Roman" w:hAnsi="Calibri"/>
      <w:b w:val="1"/>
      <w:i w:val="1"/>
    </w:rPr>
  </w:style>
  <w:style w:type="character" w:styleId="GPSSchTitleandNumberChar" w:customStyle="1">
    <w:name w:val="GPS Sch Title and Number Char"/>
    <w:rPr>
      <w:rFonts w:ascii="Arial Bold" w:cs="Times New Roman" w:eastAsia="STZhongsong" w:hAnsi="Arial Bold"/>
      <w:b w:val="1"/>
      <w:caps w:val="1"/>
      <w:lang w:eastAsia="zh-CN"/>
    </w:rPr>
  </w:style>
  <w:style w:type="character" w:styleId="GPSSchPartChar" w:customStyle="1">
    <w:name w:val="GPS Sch Part Char"/>
    <w:rPr>
      <w:rFonts w:ascii="Arial Bold" w:cs="Times New Roman" w:eastAsia="STZhongsong" w:hAnsi="Arial Bold"/>
      <w:b w:val="1"/>
      <w:caps w:val="1"/>
      <w:lang w:eastAsia="zh-CN"/>
    </w:rPr>
  </w:style>
  <w:style w:type="character" w:styleId="BalloonTextChar" w:customStyle="1">
    <w:name w:val="Balloon Text Char"/>
    <w:basedOn w:val="DefaultParagraphFont"/>
    <w:rPr>
      <w:rFonts w:ascii="Tahoma" w:cs="Tahoma" w:eastAsia="Times New Roman" w:hAnsi="Tahoma"/>
      <w:sz w:val="16"/>
      <w:szCs w:val="16"/>
    </w:rPr>
  </w:style>
  <w:style w:type="character" w:styleId="GPSL4numberedclauseChar" w:customStyle="1">
    <w:name w:val="GPS L4 numbered clause Char"/>
    <w:rPr>
      <w:rFonts w:ascii="Calibri" w:cs="Arial" w:eastAsia="Times New Roman" w:hAnsi="Calibri"/>
      <w:lang w:eastAsia="zh-CN"/>
    </w:rPr>
  </w:style>
  <w:style w:type="character" w:styleId="GPSL3numberedclauseChar" w:customStyle="1">
    <w:name w:val="GPS L3 numbered clause Char"/>
    <w:rPr>
      <w:rFonts w:ascii="Calibri" w:cs="Arial" w:eastAsia="Times New Roman" w:hAnsi="Calibri"/>
      <w:lang w:eastAsia="zh-CN"/>
    </w:rPr>
  </w:style>
  <w:style w:type="character" w:styleId="GPSL5numberedclauseChar" w:customStyle="1">
    <w:name w:val="GPS L5 numbered clause Char"/>
    <w:rPr>
      <w:rFonts w:ascii="Calibri" w:cs="Arial" w:eastAsia="Times New Roman" w:hAnsi="Calibri"/>
      <w:lang w:eastAsia="zh-CN"/>
    </w:rPr>
  </w:style>
  <w:style w:type="character" w:styleId="GPSL4GuidanceChar" w:customStyle="1">
    <w:name w:val="GPS L4 Guidance Char"/>
    <w:rPr>
      <w:rFonts w:ascii="Calibri" w:cs="Arial" w:eastAsia="Times New Roman" w:hAnsi="Calibri"/>
      <w:b w:val="1"/>
      <w:i w:val="1"/>
      <w:lang w:eastAsia="zh-CN"/>
    </w:rPr>
  </w:style>
  <w:style w:type="character" w:styleId="GPSL2non-numberboldheadingChar" w:customStyle="1">
    <w:name w:val="GPS L2 non-number bold heading Char"/>
    <w:rPr>
      <w:rFonts w:ascii="Calibri" w:cs="Arial" w:eastAsia="Times New Roman" w:hAnsi="Calibri"/>
      <w:b w:val="1"/>
      <w:lang w:eastAsia="zh-CN"/>
    </w:rPr>
  </w:style>
  <w:style w:type="character" w:styleId="GPSL2IndentChar" w:customStyle="1">
    <w:name w:val="GPS L2 Indent Char"/>
    <w:rPr>
      <w:rFonts w:ascii="Calibri" w:cs="Arial" w:eastAsia="Times New Roman" w:hAnsi="Calibri"/>
      <w:szCs w:val="24"/>
    </w:rPr>
  </w:style>
  <w:style w:type="character" w:styleId="GPSL2GuidanceChar" w:customStyle="1">
    <w:name w:val="GPS L2 Guidance Char"/>
    <w:rPr>
      <w:rFonts w:ascii="Calibri" w:cs="Arial" w:eastAsia="Times New Roman" w:hAnsi="Calibri"/>
      <w:b w:val="1"/>
      <w:i w:val="1"/>
      <w:lang w:eastAsia="zh-CN"/>
    </w:rPr>
  </w:style>
  <w:style w:type="character" w:styleId="CommentReference">
    <w:name w:val="annotation reference"/>
    <w:basedOn w:val="DefaultParagraphFont"/>
    <w:rPr>
      <w:sz w:val="16"/>
      <w:szCs w:val="16"/>
    </w:rPr>
  </w:style>
  <w:style w:type="character" w:styleId="CommentTextChar" w:customStyle="1">
    <w:name w:val="Comment Text Char"/>
    <w:basedOn w:val="DefaultParagraphFont"/>
    <w:rPr>
      <w:rFonts w:ascii="Calibri" w:cs="Arial" w:eastAsia="Times New Roman" w:hAnsi="Calibri"/>
      <w:sz w:val="20"/>
      <w:szCs w:val="20"/>
    </w:rPr>
  </w:style>
  <w:style w:type="character" w:styleId="CommentSubjectChar" w:customStyle="1">
    <w:name w:val="Comment Subject Char"/>
    <w:basedOn w:val="CommentTextChar"/>
    <w:rPr>
      <w:rFonts w:ascii="Calibri" w:cs="Arial" w:eastAsia="Times New Roman" w:hAnsi="Calibri"/>
      <w:b w:val="1"/>
      <w:bCs w:val="1"/>
      <w:sz w:val="20"/>
      <w:szCs w:val="20"/>
    </w:rPr>
  </w:style>
  <w:style w:type="character" w:styleId="ListLabel1" w:customStyle="1">
    <w:name w:val="ListLabel 1"/>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 w:customStyle="1">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 w:customStyle="1">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 w:customStyle="1">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 w:customStyle="1">
    <w:name w:val="ListLabel 5"/>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 w:customStyle="1">
    <w:name w:val="ListLabel 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 w:customStyle="1">
    <w:name w:val="ListLabel 7"/>
    <w:rPr>
      <w:rFonts w:cs="Times New Roman"/>
    </w:rPr>
  </w:style>
  <w:style w:type="character" w:styleId="ListLabel8" w:customStyle="1">
    <w:name w:val="ListLabel 8"/>
    <w:rPr>
      <w:rFonts w:cs="Times New Roman"/>
    </w:rPr>
  </w:style>
  <w:style w:type="character" w:styleId="ListLabel9" w:customStyle="1">
    <w:name w:val="ListLabel 9"/>
    <w:rPr>
      <w:rFonts w:cs="Times New Roman"/>
    </w:rPr>
  </w:style>
  <w:style w:type="character" w:styleId="ListLabel10" w:customStyle="1">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11" w:customStyle="1">
    <w:name w:val="ListLabel 11"/>
    <w:rPr>
      <w:rFonts w:cs="Times New Roman"/>
    </w:rPr>
  </w:style>
  <w:style w:type="character" w:styleId="ListLabel12" w:customStyle="1">
    <w:name w:val="ListLabel 12"/>
    <w:rPr>
      <w:rFonts w:cs="Times New Roman"/>
    </w:rPr>
  </w:style>
  <w:style w:type="character" w:styleId="ListLabel13" w:customStyle="1">
    <w:name w:val="ListLabel 13"/>
    <w:rPr>
      <w:rFonts w:cs="Times New Roman"/>
    </w:rPr>
  </w:style>
  <w:style w:type="character" w:styleId="ListLabel14" w:customStyle="1">
    <w:name w:val="ListLabel 14"/>
    <w:rPr>
      <w:rFonts w:cs="Times New Roman"/>
    </w:rPr>
  </w:style>
  <w:style w:type="character" w:styleId="ListLabel15" w:customStyle="1">
    <w:name w:val="ListLabel 15"/>
    <w:rPr>
      <w:rFonts w:cs="Times New Roman"/>
    </w:rPr>
  </w:style>
  <w:style w:type="character" w:styleId="ListLabel16" w:customStyle="1">
    <w:name w:val="ListLabel 16"/>
    <w:rPr>
      <w:rFonts w:cs="Times New Roman"/>
    </w:rPr>
  </w:style>
  <w:style w:type="character" w:styleId="ListLabel17" w:customStyle="1">
    <w:name w:val="ListLabel 17"/>
    <w:rPr>
      <w:rFonts w:cs="Times New Roman"/>
    </w:rPr>
  </w:style>
  <w:style w:type="character" w:styleId="ListLabel18" w:customStyle="1">
    <w:name w:val="ListLabel 18"/>
    <w:rPr>
      <w:rFonts w:cs="Times New Roman"/>
    </w:rPr>
  </w:style>
  <w:style w:type="character" w:styleId="ListLabel19" w:customStyle="1">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0" w:customStyle="1">
    <w:name w:val="ListLabel 20"/>
    <w:rPr>
      <w:rFonts w:cs="Times New Roman"/>
    </w:rPr>
  </w:style>
  <w:style w:type="character" w:styleId="ListLabel21" w:customStyle="1">
    <w:name w:val="ListLabel 21"/>
    <w:rPr>
      <w:rFonts w:cs="Times New Roman"/>
    </w:rPr>
  </w:style>
  <w:style w:type="character" w:styleId="ListLabel22" w:customStyle="1">
    <w:name w:val="ListLabel 22"/>
    <w:rPr>
      <w:rFonts w:cs="Times New Roman"/>
    </w:rPr>
  </w:style>
  <w:style w:type="character" w:styleId="ListLabel23" w:customStyle="1">
    <w:name w:val="ListLabel 23"/>
    <w:rPr>
      <w:rFonts w:cs="Times New Roman"/>
    </w:rPr>
  </w:style>
  <w:style w:type="character" w:styleId="ListLabel24" w:customStyle="1">
    <w:name w:val="ListLabel 24"/>
    <w:rPr>
      <w:rFonts w:cs="Times New Roman"/>
    </w:rPr>
  </w:style>
  <w:style w:type="character" w:styleId="ListLabel25" w:customStyle="1">
    <w:name w:val="ListLabel 25"/>
    <w:rPr>
      <w:rFonts w:cs="Times New Roman"/>
    </w:rPr>
  </w:style>
  <w:style w:type="character" w:styleId="ListLabel26" w:customStyle="1">
    <w:name w:val="ListLabel 26"/>
    <w:rPr>
      <w:rFonts w:cs="Times New Roman"/>
    </w:rPr>
  </w:style>
  <w:style w:type="character" w:styleId="ListLabel27" w:customStyle="1">
    <w:name w:val="ListLabel 27"/>
    <w:rPr>
      <w:rFonts w:cs="Times New Roman"/>
    </w:rPr>
  </w:style>
  <w:style w:type="character" w:styleId="ListLabel28" w:customStyle="1">
    <w:name w:val="ListLabel 28"/>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9" w:customStyle="1">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0" w:customStyle="1">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1" w:customStyle="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2" w:customStyle="1">
    <w:name w:val="ListLabel 3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3" w:customStyle="1">
    <w:name w:val="ListLabel 33"/>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4" w:customStyle="1">
    <w:name w:val="ListLabel 34"/>
    <w:rPr>
      <w:rFonts w:cs="Times New Roman"/>
    </w:rPr>
  </w:style>
  <w:style w:type="character" w:styleId="ListLabel35" w:customStyle="1">
    <w:name w:val="ListLabel 35"/>
    <w:rPr>
      <w:rFonts w:cs="Times New Roman"/>
    </w:rPr>
  </w:style>
  <w:style w:type="character" w:styleId="ListLabel36" w:customStyle="1">
    <w:name w:val="ListLabel 36"/>
    <w:rPr>
      <w:rFonts w:cs="Times New Roman"/>
    </w:rPr>
  </w:style>
  <w:style w:type="character" w:styleId="ListLabel37" w:customStyle="1">
    <w:name w:val="ListLabel 37"/>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8" w:customStyle="1">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9" w:customStyle="1">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0" w:customStyle="1">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1" w:customStyle="1">
    <w:name w:val="ListLabel 4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2" w:customStyle="1">
    <w:name w:val="ListLabel 4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3" w:customStyle="1">
    <w:name w:val="ListLabel 43"/>
    <w:rPr>
      <w:rFonts w:cs="Times New Roman"/>
    </w:rPr>
  </w:style>
  <w:style w:type="character" w:styleId="ListLabel44" w:customStyle="1">
    <w:name w:val="ListLabel 44"/>
    <w:rPr>
      <w:rFonts w:cs="Times New Roman"/>
    </w:rPr>
  </w:style>
  <w:style w:type="character" w:styleId="ListLabel45" w:customStyle="1">
    <w:name w:val="ListLabel 45"/>
    <w:rPr>
      <w:rFonts w:cs="Times New Roman"/>
    </w:rPr>
  </w:style>
  <w:style w:type="character" w:styleId="ListLabel46" w:customStyle="1">
    <w:name w:val="ListLabel 46"/>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7" w:customStyle="1">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8" w:customStyle="1">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9" w:customStyle="1">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0" w:customStyle="1">
    <w:name w:val="ListLabel 5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1" w:customStyle="1">
    <w:name w:val="ListLabel 5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2" w:customStyle="1">
    <w:name w:val="ListLabel 52"/>
    <w:rPr>
      <w:rFonts w:cs="Times New Roman"/>
    </w:rPr>
  </w:style>
  <w:style w:type="character" w:styleId="ListLabel53" w:customStyle="1">
    <w:name w:val="ListLabel 53"/>
    <w:rPr>
      <w:rFonts w:cs="Times New Roman"/>
    </w:rPr>
  </w:style>
  <w:style w:type="character" w:styleId="ListLabel54" w:customStyle="1">
    <w:name w:val="ListLabel 54"/>
    <w:rPr>
      <w:rFonts w:cs="Times New Roman"/>
    </w:rPr>
  </w:style>
  <w:style w:type="character" w:styleId="ListLabel55" w:customStyle="1">
    <w:name w:val="ListLabel 55"/>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6" w:customStyle="1">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7" w:customStyle="1">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8" w:customStyle="1">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9" w:customStyle="1">
    <w:name w:val="ListLabel 59"/>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0" w:customStyle="1">
    <w:name w:val="ListLabel 6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1" w:customStyle="1">
    <w:name w:val="ListLabel 61"/>
    <w:rPr>
      <w:rFonts w:cs="Times New Roman"/>
    </w:rPr>
  </w:style>
  <w:style w:type="character" w:styleId="ListLabel62" w:customStyle="1">
    <w:name w:val="ListLabel 62"/>
    <w:rPr>
      <w:rFonts w:cs="Times New Roman"/>
    </w:rPr>
  </w:style>
  <w:style w:type="character" w:styleId="ListLabel63" w:customStyle="1">
    <w:name w:val="ListLabel 63"/>
    <w:rPr>
      <w:rFonts w:cs="Times New Roman"/>
    </w:rPr>
  </w:style>
  <w:style w:type="character" w:styleId="ListLabel64" w:customStyle="1">
    <w:name w:val="ListLabel 64"/>
    <w:rPr>
      <w:rFonts w:cs="Courier New"/>
      <w:b w:val="0"/>
    </w:rPr>
  </w:style>
  <w:style w:type="character" w:styleId="ListLabel65" w:customStyle="1">
    <w:name w:val="ListLabel 65"/>
    <w:rPr>
      <w:rFonts w:cs="Courier New"/>
    </w:rPr>
  </w:style>
  <w:style w:type="character" w:styleId="ListLabel66" w:customStyle="1">
    <w:name w:val="ListLabel 66"/>
    <w:rPr>
      <w:rFonts w:cs="Courier New"/>
    </w:rPr>
  </w:style>
  <w:style w:type="character" w:styleId="ListLabel67" w:customStyle="1">
    <w:name w:val="ListLabel 67"/>
    <w:rPr>
      <w:rFonts w:cs="Courier New"/>
    </w:rPr>
  </w:style>
  <w:style w:type="character" w:styleId="ListLabel68" w:customStyle="1">
    <w:name w:val="ListLabel 68"/>
    <w:rPr>
      <w:rFonts w:cs="Courier New"/>
    </w:rPr>
  </w:style>
  <w:style w:type="character" w:styleId="ListLabel69" w:customStyle="1">
    <w:name w:val="ListLabel 69"/>
    <w:rPr>
      <w:rFonts w:cs="Courier New"/>
    </w:rPr>
  </w:style>
  <w:style w:type="character" w:styleId="ListLabel70" w:customStyle="1">
    <w:name w:val="ListLabel 70"/>
    <w:rPr>
      <w:rFonts w:cs="Courier New"/>
    </w:rPr>
  </w:style>
  <w:style w:type="character" w:styleId="ListLabel71" w:customStyle="1">
    <w:name w:val="ListLabel 71"/>
    <w:rPr>
      <w:rFonts w:cs="Courier New"/>
    </w:rPr>
  </w:style>
  <w:style w:type="character" w:styleId="ListLabel72" w:customStyle="1">
    <w:name w:val="ListLabel 72"/>
    <w:rPr>
      <w:rFonts w:cs="Courier New"/>
    </w:rPr>
  </w:style>
  <w:style w:type="character" w:styleId="ListLabel73" w:customStyle="1">
    <w:name w:val="ListLabel 73"/>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4" w:customStyle="1">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5" w:customStyle="1">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6" w:customStyle="1">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7" w:customStyle="1">
    <w:name w:val="ListLabel 7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8" w:customStyle="1">
    <w:name w:val="ListLabel 78"/>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9" w:customStyle="1">
    <w:name w:val="ListLabel 79"/>
    <w:rPr>
      <w:rFonts w:cs="Times New Roman"/>
    </w:rPr>
  </w:style>
  <w:style w:type="character" w:styleId="ListLabel80" w:customStyle="1">
    <w:name w:val="ListLabel 80"/>
    <w:rPr>
      <w:rFonts w:cs="Times New Roman"/>
    </w:rPr>
  </w:style>
  <w:style w:type="character" w:styleId="ListLabel81" w:customStyle="1">
    <w:name w:val="ListLabel 81"/>
    <w:rPr>
      <w:rFonts w:cs="Times New Roman"/>
    </w:rPr>
  </w:style>
  <w:style w:type="character" w:styleId="ListLabel82" w:customStyle="1">
    <w:name w:val="ListLabel 82"/>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3" w:customStyle="1">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4" w:customStyle="1">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5" w:customStyle="1">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6" w:customStyle="1">
    <w:name w:val="ListLabel 8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7" w:customStyle="1">
    <w:name w:val="ListLabel 8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8" w:customStyle="1">
    <w:name w:val="ListLabel 88"/>
    <w:rPr>
      <w:rFonts w:cs="Times New Roman"/>
    </w:rPr>
  </w:style>
  <w:style w:type="character" w:styleId="ListLabel89" w:customStyle="1">
    <w:name w:val="ListLabel 89"/>
    <w:rPr>
      <w:rFonts w:cs="Times New Roman"/>
    </w:rPr>
  </w:style>
  <w:style w:type="character" w:styleId="ListLabel90" w:customStyle="1">
    <w:name w:val="ListLabel 90"/>
    <w:rPr>
      <w:rFonts w:cs="Times New Roman"/>
    </w:rPr>
  </w:style>
  <w:style w:type="numbering" w:styleId="NoList1" w:customStyle="1">
    <w:name w:val="No List_1"/>
    <w:basedOn w:val="NoList"/>
  </w:style>
  <w:style w:type="numbering" w:styleId="WWNum1" w:customStyle="1">
    <w:name w:val="WWNum1"/>
    <w:basedOn w:val="NoList"/>
  </w:style>
  <w:style w:type="numbering" w:styleId="WWNum2" w:customStyle="1">
    <w:name w:val="WWNum2"/>
    <w:basedOn w:val="NoList"/>
  </w:style>
  <w:style w:type="numbering" w:styleId="WWNum3" w:customStyle="1">
    <w:name w:val="WWNum3"/>
    <w:basedOn w:val="NoList"/>
  </w:style>
  <w:style w:type="numbering" w:styleId="WWNum4" w:customStyle="1">
    <w:name w:val="WWNum4"/>
    <w:basedOn w:val="NoList"/>
  </w:style>
  <w:style w:type="numbering" w:styleId="WWNum5" w:customStyle="1">
    <w:name w:val="WWNum5"/>
    <w:basedOn w:val="NoList"/>
  </w:style>
  <w:style w:type="numbering" w:styleId="WWNum6" w:customStyle="1">
    <w:name w:val="WWNum6"/>
    <w:basedOn w:val="NoList"/>
  </w:style>
  <w:style w:type="numbering" w:styleId="WWNum7" w:customStyle="1">
    <w:name w:val="WWNum7"/>
    <w:basedOn w:val="NoList"/>
  </w:style>
  <w:style w:type="numbering" w:styleId="WWNum8" w:customStyle="1">
    <w:name w:val="WWNum8"/>
    <w:basedOn w:val="NoList"/>
  </w:style>
  <w:style w:type="numbering" w:styleId="WWNum9" w:customStyle="1">
    <w:name w:val="WWNum9"/>
    <w:basedOn w:val="NoList"/>
  </w:style>
  <w:style w:type="numbering" w:styleId="WWNum10" w:customStyle="1">
    <w:name w:val="WWNum10"/>
    <w:basedOn w:val="NoList"/>
  </w:style>
  <w:style w:type="numbering" w:styleId="WWNum11" w:customStyle="1">
    <w:name w:val="WWNum11"/>
    <w:basedOn w:val="NoList"/>
  </w:style>
  <w:style w:type="numbering" w:styleId="WWNum12" w:customStyle="1">
    <w:name w:val="WWNum12"/>
    <w:basedOn w:val="NoList"/>
  </w:style>
  <w:style w:type="numbering" w:styleId="WWNum13" w:customStyle="1">
    <w:name w:val="WWNum13"/>
    <w:basedOn w:val="NoList"/>
  </w:style>
  <w:style w:type="table" w:styleId="TableGrid">
    <w:name w:val="Table Grid"/>
    <w:basedOn w:val="TableNormal"/>
    <w:uiPriority w:val="59"/>
    <w:rsid w:val="007A5C9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AMainHeading" w:customStyle="1">
    <w:name w:val="FA: Main Heading"/>
    <w:basedOn w:val="Heading1"/>
    <w:qFormat w:val="1"/>
    <w:rsid w:val="00532FDD"/>
    <w:pPr>
      <w:numPr>
        <w:numId w:val="15"/>
      </w:numPr>
      <w:tabs>
        <w:tab w:val="num" w:pos="360"/>
      </w:tabs>
      <w:spacing w:after="20" w:before="20"/>
      <w:ind w:left="0" w:firstLine="0"/>
    </w:pPr>
    <w:rPr>
      <w:rFonts w:ascii="Arial" w:cs="Arial" w:eastAsia="Calibri" w:hAnsi="Arial"/>
      <w:b w:val="1"/>
      <w:color w:val="auto"/>
      <w:sz w:val="22"/>
      <w:szCs w:val="36"/>
    </w:rPr>
  </w:style>
  <w:style w:type="paragraph" w:styleId="FALevel1" w:customStyle="1">
    <w:name w:val="FA: Level 1"/>
    <w:basedOn w:val="Normal"/>
    <w:link w:val="FALevel1Char"/>
    <w:qFormat w:val="1"/>
    <w:rsid w:val="00532FDD"/>
    <w:pPr>
      <w:widowControl w:val="1"/>
      <w:numPr>
        <w:ilvl w:val="1"/>
        <w:numId w:val="15"/>
      </w:numPr>
      <w:spacing w:after="280" w:before="120" w:line="259" w:lineRule="auto"/>
    </w:pPr>
    <w:rPr>
      <w:rFonts w:ascii="Arial" w:cs="Arial" w:hAnsi="Arial" w:eastAsiaTheme="minorHAnsi"/>
    </w:rPr>
  </w:style>
  <w:style w:type="character" w:styleId="FALevel1Char" w:customStyle="1">
    <w:name w:val="FA: Level 1 Char"/>
    <w:basedOn w:val="DefaultParagraphFont"/>
    <w:link w:val="FALevel1"/>
    <w:rsid w:val="00532FDD"/>
    <w:rPr>
      <w:rFonts w:ascii="Arial" w:cs="Arial" w:hAnsi="Arial" w:eastAsiaTheme="minorHAnsi"/>
    </w:rPr>
  </w:style>
  <w:style w:type="paragraph" w:styleId="FALevel2" w:customStyle="1">
    <w:name w:val="FA: Level 2"/>
    <w:basedOn w:val="Normal"/>
    <w:link w:val="FALevel2Char"/>
    <w:qFormat w:val="1"/>
    <w:rsid w:val="00532FDD"/>
    <w:pPr>
      <w:widowControl w:val="1"/>
      <w:numPr>
        <w:ilvl w:val="2"/>
        <w:numId w:val="15"/>
      </w:numPr>
      <w:spacing w:after="280" w:before="120" w:line="259" w:lineRule="auto"/>
    </w:pPr>
    <w:rPr>
      <w:rFonts w:ascii="Arial" w:cs="Arial" w:hAnsi="Arial" w:eastAsiaTheme="minorHAnsi"/>
    </w:rPr>
  </w:style>
  <w:style w:type="character" w:styleId="FALevel2Char" w:customStyle="1">
    <w:name w:val="FA: Level 2 Char"/>
    <w:basedOn w:val="DefaultParagraphFont"/>
    <w:link w:val="FALevel2"/>
    <w:rsid w:val="00532FDD"/>
    <w:rPr>
      <w:rFonts w:ascii="Arial" w:cs="Arial" w:hAnsi="Arial" w:eastAsiaTheme="minorHAnsi"/>
    </w:rPr>
  </w:style>
  <w:style w:type="character" w:styleId="Heading1Char" w:customStyle="1">
    <w:name w:val="Heading 1 Char"/>
    <w:basedOn w:val="DefaultParagraphFont"/>
    <w:link w:val="Heading1"/>
    <w:uiPriority w:val="9"/>
    <w:rsid w:val="00532FDD"/>
    <w:rPr>
      <w:rFonts w:asciiTheme="majorHAnsi" w:cstheme="majorBidi" w:eastAsiaTheme="majorEastAsia" w:hAnsiTheme="majorHAnsi"/>
      <w:color w:val="2f5496" w:themeColor="accent1" w:themeShade="0000BF"/>
      <w:sz w:val="32"/>
      <w:szCs w:val="32"/>
    </w:rPr>
  </w:style>
  <w:style w:type="paragraph" w:styleId="FABulletPoints" w:customStyle="1">
    <w:name w:val="FA: Bullet Points"/>
    <w:basedOn w:val="Normal"/>
    <w:link w:val="FABulletPointsChar"/>
    <w:qFormat w:val="1"/>
    <w:rsid w:val="00532FDD"/>
    <w:pPr>
      <w:widowControl w:val="1"/>
      <w:tabs>
        <w:tab w:val="num" w:pos="720"/>
      </w:tabs>
      <w:ind w:left="720" w:hanging="720"/>
    </w:pPr>
    <w:rPr>
      <w:rFonts w:ascii="Arial" w:cs="Arial" w:hAnsi="Arial" w:eastAsiaTheme="minorHAnsi"/>
    </w:rPr>
  </w:style>
  <w:style w:type="character" w:styleId="FABulletPointsChar" w:customStyle="1">
    <w:name w:val="FA: Bullet Points Char"/>
    <w:basedOn w:val="DefaultParagraphFont"/>
    <w:link w:val="FABulletPoints"/>
    <w:rsid w:val="00532FDD"/>
    <w:rPr>
      <w:rFonts w:ascii="Arial" w:cs="Arial" w:hAnsi="Arial" w:eastAsiaTheme="minorHAnsi"/>
    </w:rPr>
  </w:style>
  <w:style w:type="paragraph" w:styleId="Revision">
    <w:name w:val="Revision"/>
    <w:hidden w:val="1"/>
    <w:uiPriority w:val="99"/>
    <w:semiHidden w:val="1"/>
    <w:rsid w:val="00CE0EDB"/>
    <w:pPr>
      <w:widowControl w:val="1"/>
    </w:p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Pr>
  </w:style>
  <w:style w:type="table" w:styleId="a3"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9/mZrwhqOce3sdXF12QTwyfffA==">AMUW2mU5TB5Hc+4u37/2eigbq08ODLZKNYJpllBKXHYZ1YYDnEZnYZ3pgYX7npoBpeUfMS0kNZvrAwWZTEpO+mLZUK+J0dPALrFxRzVYD1sWJe8ZdI/lo8Obf6/hHiVhwTlBfAItoc3HeI1shC3t7X3zhEoxA5gz+0MzbQyHtmRycfEf/Yusq3lPgSzyfGY6yvvxZLNcUMnupjXXC9qfcP63hH28k8bLNo5+253D7Y6+z3u4GKKNy1YVpqJSk3usUk7QP/W+VG01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2021-07-02T14:43:00Z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